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71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</w:t>
      </w:r>
    </w:p>
    <w:p>
      <w:pPr>
        <w:spacing w:after="120"/>
        <w:ind w:firstLine="709"/>
      </w:pPr>
      <w:r>
        <w:rPr>
          <w:sz w:val="24"/>
        </w:rPr>
        <w:t xml:space="preserve">3. Доказательство признается арбитражным судом достоверным, если в результате его проверки и исследования выясняется, что содержащиеся в нем сведения соответствуют действительности.</w:t>
      </w:r>
    </w:p>
    <w:p>
      <w:pPr>
        <w:spacing w:after="120"/>
        <w:ind w:firstLine="709"/>
      </w:pPr>
      <w:r>
        <w:rPr>
          <w:sz w:val="24"/>
        </w:rPr>
        <w:t xml:space="preserve">4. Каждое доказательство подлежит оценке арбитражным судом наряду с другими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5. Никакие доказательства не имеют для арбитражного суда заранее установленной силы.</w:t>
      </w:r>
    </w:p>
    <w:p>
      <w:pPr>
        <w:spacing w:after="120"/>
        <w:ind w:firstLine="709"/>
      </w:pPr>
      <w:r>
        <w:rPr>
          <w:sz w:val="24"/>
        </w:rPr>
        <w:t xml:space="preserve">6. Арбитражный суд не может считать доказанным факт, подтверждаемый только копией документа или иного письменного доказательства, если утрачен или не передан в суд оригинал документа, а копии этого документа, представленные лицами, участвующими в деле, не тождественны между собой и невозможно установить подлинное содержание первоисточника с помощью других доказательств.</w:t>
      </w:r>
    </w:p>
    <w:p>
      <w:pPr>
        <w:spacing w:after="120"/>
        <w:ind w:firstLine="709"/>
      </w:pPr>
      <w:r>
        <w:rPr>
          <w:sz w:val="24"/>
        </w:rPr>
        <w:t xml:space="preserve">7. Результаты оценки доказательств суд отражает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71</dc:title>
  <dc:creator>АРБИТРАЖ! · arbi.ru</dc:creator>
  <cp:lastModifiedBy>АРБИТРАЖ!</cp:lastModifiedBy>
  <dcterms:created xsi:type="dcterms:W3CDTF">2026-10-22T12:55:25.994Z</dcterms:created>
</cp:coreProperties>
</file>