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поручение выполняется в судебном заседании арбитражного суда по правилам, установленным настоящим Кодексом. Лица, участвующие в деле,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к проведению заседания, если это не противоречит существу поручения.</w:t>
      </w:r>
    </w:p>
    <w:p>
      <w:pPr>
        <w:spacing w:after="120"/>
        <w:ind w:firstLine="709"/>
      </w:pPr>
      <w:r>
        <w:rPr>
          <w:sz w:val="24"/>
        </w:rPr>
        <w:t xml:space="preserve">2. О выполнении судебного поручения выносится определение, которое со всеми материалами, собранными при выполнении судебного поручения, немедленно пересылается в арбитражный суд, направивший судебное поручение.</w:t>
      </w:r>
    </w:p>
    <w:p>
      <w:pPr>
        <w:spacing w:after="120"/>
        <w:ind w:firstLine="709"/>
      </w:pPr>
      <w:r>
        <w:rPr>
          <w:sz w:val="24"/>
        </w:rPr>
        <w:t xml:space="preserve">При невозможности выполнения судебного поручения по причинам, не зависящим от суда, на это указывается в определении.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свидетели, эксперты, специалисты, давшие объяснения, показания, заключения или консультации арбитражному суду, выполнявшему судебное поручение, в случае своего участия в судебном заседании арбитражного суда, рассматривающего дело, дают объяснения, показания, заключения и консультации в общем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74</dc:title>
  <dc:creator>АРБИТРАЖ! · arbi.ru</dc:creator>
  <cp:lastModifiedBy>АРБИТРАЖ!</cp:lastModifiedBy>
  <dcterms:created xsi:type="dcterms:W3CDTF">2026-10-22T22:47:07.751Z</dcterms:created>
</cp:coreProperties>
</file>