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Вещественными доказательствами являются предметы, которые своими внешним видом, свойствами, местом нахождения или иными признаками могут служить средством установления обстоятельств, имеющих значение для дела.</w:t>
      </w:r>
    </w:p>
    <w:p>
      <w:pPr>
        <w:spacing w:after="120"/>
        <w:ind w:firstLine="709"/>
      </w:pPr>
      <w:r>
        <w:rPr>
          <w:sz w:val="24"/>
        </w:rPr>
        <w:t xml:space="preserve">2. О приобщении вещественных доказательств к делу арбитражный суд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76</dc:title>
  <dc:creator>АРБИТРАЖ! · arbi.ru</dc:creator>
  <cp:lastModifiedBy>АРБИТРАЖ!</cp:lastModifiedBy>
  <dcterms:created xsi:type="dcterms:W3CDTF">2026-10-22T20:03:45.076Z</dcterms:created>
</cp:coreProperties>
</file>