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хранятся по месту их нахождения. Они должны быть подробно описаны, опечатаны, а в случае необходимости засняты на фото- или видеопленку.</w:t>
      </w:r>
    </w:p>
    <w:p>
      <w:pPr>
        <w:spacing w:after="120"/>
        <w:ind w:firstLine="709"/>
      </w:pPr>
      <w:r>
        <w:rPr>
          <w:sz w:val="24"/>
        </w:rPr>
        <w:t xml:space="preserve">2. Вещественные доказательства могут храниться в арбитражном суде, если суд признает это необходимым.</w:t>
      </w:r>
    </w:p>
    <w:p>
      <w:pPr>
        <w:spacing w:after="120"/>
        <w:ind w:firstLine="709"/>
      </w:pPr>
      <w:r>
        <w:rPr>
          <w:sz w:val="24"/>
        </w:rPr>
        <w:t xml:space="preserve">3. Расходы на хранение вещественных доказательств распределяются между сторонами в соответствии с правилами, установленными статьей 110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и хранитель принимают меры по сохранению вещественных доказательств в неизменном состоянии.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77</dc:title>
  <dc:creator>АРБИТРАЖ! · arbi.ru</dc:creator>
  <cp:lastModifiedBy>АРБИТРАЖ!</cp:lastModifiedBy>
  <dcterms:created xsi:type="dcterms:W3CDTF">2026-10-22T22:20:17.030Z</dcterms:created>
</cp:coreProperties>
</file>