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может провести осмотр и исследование письменных и вещественных доказательств по месту их нахождения в случае невозможности или затруднительности доставки в суд.</w:t>
      </w:r>
    </w:p>
    <w:p>
      <w:pPr>
        <w:spacing w:after="120"/>
        <w:ind w:firstLine="709"/>
      </w:pPr>
      <w:r>
        <w:rPr>
          <w:sz w:val="24"/>
        </w:rPr>
        <w:t xml:space="preserve">О проведении осмотра и исследования на месте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2. Осмотр и исследование письменных и вещественных доказательств проводятся арбитражным судом с извещением лиц, участвующих в деле, о месте и времени осмотра и исследования. Неявка надлежащим образом извещенных лиц не препятствует проведению осмотра и исследования.</w:t>
      </w:r>
    </w:p>
    <w:p>
      <w:pPr>
        <w:spacing w:after="120"/>
        <w:ind w:firstLine="709"/>
      </w:pPr>
      <w:r>
        <w:rPr>
          <w:sz w:val="24"/>
        </w:rPr>
        <w:t xml:space="preserve">3. В случае необходимости для участия в осмотре и исследовании письменных и вещественных доказательств арбитражным судом могут быть вызваны эксперты и свидетели, а также осуществлены фотографирование, аудио- и видеозапись.</w:t>
      </w:r>
    </w:p>
    <w:p>
      <w:pPr>
        <w:spacing w:after="120"/>
        <w:ind w:firstLine="709"/>
      </w:pPr>
      <w:r>
        <w:rPr>
          <w:sz w:val="24"/>
        </w:rPr>
        <w:t xml:space="preserve">4. Непосредственно в процессе осмотра и исследования письменных и вещественных доказательств по месту их нахождения арбитражным судом составляется протокол в порядке, установленном статьей 155 настоящего Кодекса. К протоколу прилагаются составленные или проверенные при осмотре документы, сделанные фотоснимки, аудио- и видеозаписи.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78</dc:title>
  <dc:creator>АРБИТРАЖ! · arbi.ru</dc:creator>
  <cp:lastModifiedBy>АРБИТРАЖ!</cp:lastModifiedBy>
  <dcterms:created xsi:type="dcterms:W3CDTF">2026-10-22T22:16:05.474Z</dcterms:created>
</cp:coreProperties>
</file>