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участвующее в деле, представляет арбитражному суду свои объяснения об известных ему обстоятельствах, имеющих значение для дела, в письменной или устной форме. По предложению суда лицо, участвующее в деле, может изложить свои объяснения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Объяснения, изложенные в письменной форме, приобщаются к материалам дела.</w:t>
      </w:r>
    </w:p>
    <w:p>
      <w:pPr>
        <w:spacing w:after="120"/>
        <w:ind w:firstLine="709"/>
      </w:pPr>
      <w:r>
        <w:rPr>
          <w:sz w:val="24"/>
        </w:rPr>
        <w:t xml:space="preserve">2. Объяснения, изложенные в письменной форме участвующими в деле лицами, оглашаются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После оглашения объяснения, изложенного в письменной форме, лицо, представившее это объяснение, вправе дать относительно него необходимые пояснения, а также обязано ответить на вопросы других лиц, участвующих в деле, 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81</dc:title>
  <dc:creator>АРБИТРАЖ! · arbi.ru</dc:creator>
  <cp:lastModifiedBy>АРБИТРАЖ!</cp:lastModifiedBy>
  <dcterms:created xsi:type="dcterms:W3CDTF">2026-10-22T19:28:51.194Z</dcterms:created>
</cp:coreProperties>
</file>