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89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7.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Иные документы и материалы допускаются в качестве доказательств, если содержат сведения об обстоятельствах, имеющих значение для правильного рассмотрения дела.</w:t>
      </w:r>
    </w:p>
    <w:p>
      <w:pPr>
        <w:spacing w:after="120"/>
        <w:ind w:firstLine="709"/>
      </w:pPr>
      <w:r>
        <w:rPr>
          <w:sz w:val="24"/>
        </w:rPr>
        <w:t xml:space="preserve">2. Иные документы и материалы могут содержать сведения, зафиксированные как в письменной, так и в иной форме. К ним могут относиться материалы фото- и киносъемки, аудио- и видеозаписи и иные носители информации, полученные, истребованные или представленные в порядке, установленном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3. Документы приобщаются к материалам дела и хранятся в арбитражном суде в течение всего срока хранения дела. По ходатайству лица, от которого они были получены, документы или их копии могут быть ему возвращены.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89</dc:title>
  <dc:creator>АРБИТРАЖ! · arbi.ru</dc:creator>
  <cp:lastModifiedBy>АРБИТРАЖ!</cp:lastModifiedBy>
  <dcterms:created xsi:type="dcterms:W3CDTF">2026-10-23T00:19:43.533Z</dcterms:created>
</cp:coreProperties>
</file>