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Иные документы и материалы допускаются в качестве доказательств, если содержат сведения об обстоятельствах, имеющих значение для правильного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2. Иные документы и материалы могут содержать сведения, зафиксированные как в письменной, так и в иной форме. К ним могут относиться материалы фото- и киносъемки, аудио- и видеозаписи и иные носители информации, полученные, истребованные или представленные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Документы приобщаются к материалам дела и хранятся в арбитражном суде в течение всего срока хранения дела. По ходатайству лица, от которого они были получены, документы или их копии могут быть ему возвращены.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89</dc:title>
  <dc:creator>АРБИТРАЖ! · arbi.ru</dc:creator>
  <cp:lastModifiedBy>АРБИТРАЖ!</cp:lastModifiedBy>
  <dcterms:created xsi:type="dcterms:W3CDTF">2026-10-23T18:15:29.770Z</dcterms:created>
</cp:coreProperties>
</file>