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АПК РФ, ст. 89</w:t>
      </w:r>
    </w:p>
    <w:p>
      <w:pPr>
        <w:spacing w:after="120"/>
        <w:ind w:firstLine="709"/>
      </w:pPr>
      <w:r>
        <w:rPr>
          <w:sz w:val="24"/>
        </w:rPr>
        <w:t xml:space="preserve">Акт: Арбитражный процессуальный кодекс Российской Федерации № 95-ФЗ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7. Доказательства и доказывание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Иные документы и материалы допускаются в качестве доказательств, если содержат сведения об обстоятельствах, имеющих значение для правильного рассмотрения дела.</w:t>
      </w:r>
    </w:p>
    <w:p>
      <w:pPr>
        <w:spacing w:after="120"/>
        <w:ind w:firstLine="709"/>
      </w:pPr>
      <w:r>
        <w:rPr>
          <w:sz w:val="24"/>
        </w:rPr>
        <w:t xml:space="preserve">2. Иные документы и материалы могут содержать сведения, зафиксированные как в письменной, так и в иной форме. К ним могут относиться материалы фото- и киносъемки, аудио- и видеозаписи и иные носители информации, полученные, истребованные или представленные в порядке, установленном настоящим Кодексом.</w:t>
      </w:r>
    </w:p>
    <w:p>
      <w:pPr>
        <w:spacing w:after="120"/>
        <w:ind w:firstLine="709"/>
      </w:pPr>
      <w:r>
        <w:rPr>
          <w:sz w:val="24"/>
        </w:rPr>
        <w:t xml:space="preserve">3. Документы приобщаются к материалам дела и хранятся в арбитражном суде в течение всего срока хранения дела. По ходатайству лица, от которого они были получены, документы или их копии могут быть ему возвращены.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АПК РФ, ст. 89</dc:title>
  <dc:creator>АРБИТРАЖ! · arbi.ru</dc:creator>
  <cp:lastModifiedBy>АРБИТРАЖ!</cp:lastModifiedBy>
  <dcterms:created xsi:type="dcterms:W3CDTF">2026-10-22T20:07:33.978Z</dcterms:created>
</cp:coreProperties>
</file>