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обеспечении иска может быть подано в арбитражный суд одновременно с исковым заявлением или в процессе производства по делу до принятия судебного акта, которым заканчивается рассмотрение дела по существу. Ходатайство об обеспечении иска может быть изложено в исковом заявлении.</w:t>
      </w:r>
    </w:p>
    <w:p>
      <w:pPr>
        <w:spacing w:after="120"/>
        <w:ind w:firstLine="709"/>
      </w:pPr>
      <w:r>
        <w:rPr>
          <w:sz w:val="24"/>
        </w:rPr>
        <w:t xml:space="preserve">Заявление об обеспечении иска,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об обеспечении иска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наименования истца и ответчика, их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предмет спора;</w:t>
      </w:r>
    </w:p>
    <w:p>
      <w:pPr>
        <w:spacing w:after="120"/>
        <w:ind w:firstLine="709"/>
      </w:pPr>
      <w:r>
        <w:rPr>
          <w:sz w:val="24"/>
        </w:rPr>
        <w:t xml:space="preserve">4) размер имущественных требований;</w:t>
      </w:r>
    </w:p>
    <w:p>
      <w:pPr>
        <w:spacing w:after="120"/>
        <w:ind w:firstLine="709"/>
      </w:pPr>
      <w:r>
        <w:rPr>
          <w:sz w:val="24"/>
        </w:rPr>
        <w:t xml:space="preserve">5) обоснование причины обращения с заявлением об обеспечении иска;</w:t>
      </w:r>
    </w:p>
    <w:p>
      <w:pPr>
        <w:spacing w:after="120"/>
        <w:ind w:firstLine="709"/>
      </w:pPr>
      <w:r>
        <w:rPr>
          <w:sz w:val="24"/>
        </w:rPr>
        <w:t xml:space="preserve">6) обеспечительная мера, которую просит принять истец;</w:t>
      </w:r>
    </w:p>
    <w:p>
      <w:pPr>
        <w:spacing w:after="120"/>
        <w:ind w:firstLine="709"/>
      </w:pPr>
      <w:r>
        <w:rPr>
          <w:sz w:val="24"/>
        </w:rPr>
        <w:t xml:space="preserve">7)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В заявлении об обеспечении иска могут быть также указаны встречное обеспечение и иные сведения, в том числе номера телефонов, факсов, адреса электронной почты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3. Заявление об обеспечении иска подписывается лицом, участвующим в деле,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К заявлению, подписанному представителем, прилагается доверенность или иной подтверждающий полномочия на его подписание документ.</w:t>
      </w:r>
    </w:p>
    <w:p>
      <w:pPr>
        <w:spacing w:after="120"/>
        <w:ind w:firstLine="709"/>
      </w:pPr>
      <w:r>
        <w:rPr>
          <w:sz w:val="24"/>
        </w:rPr>
        <w:t xml:space="preserve">4. В случае, если ходатайство об обеспечении иска изложено в исковом заявлении, в этом ходатайстве должны быть указаны сведения, предусмотренные пунктами 5 и 6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К заявлению стороны третейского разбирательства об обеспечении иска прилагаются заверенная председателем постоянно действующего третейского суда копия искового заявления, принятого к рассмотрению третейским судом, или нотариально удостоверенная копия такого заявления и заверенная надлежащим образом копия соглашения о третейском разбирательстве.</w:t>
      </w:r>
    </w:p>
    <w:p>
      <w:pPr>
        <w:spacing w:after="120"/>
        <w:ind w:firstLine="709"/>
      </w:pPr>
      <w:r>
        <w:rPr>
          <w:sz w:val="24"/>
        </w:rPr>
        <w:t xml:space="preserve">6. К заявлению об обеспечении иска, если оно в соответствии с настоящим Кодексом оплачивается государственной пошлиной , прилагается документ , подтверждающий ее уплату.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92</dc:title>
  <dc:creator>АРБИТРАЖ! · arbi.ru</dc:creator>
  <cp:lastModifiedBy>АРБИТРАЖ!</cp:lastModifiedBy>
  <dcterms:created xsi:type="dcterms:W3CDTF">2026-10-22T23:36:43.119Z</dcterms:created>
</cp:coreProperties>
</file>