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Ответчик и другие лица, чьи права и (или) законные интересы нарушены обеспечением иска, после вступления в законную силу судебного акта арбитражного суда об отказе в удовлетворении иска вправе требовать от лица, по заявлению которого были приняты обеспечительные меры, возмещения убытков в порядке и в размере, которые предусмотрены гражданским законодательством , или выплаты компенсации.</w:t>
      </w:r>
    </w:p>
    <w:p>
      <w:pPr>
        <w:spacing w:after="120"/>
        <w:ind w:firstLine="709"/>
      </w:pPr>
      <w:r>
        <w:rPr>
          <w:sz w:val="24"/>
        </w:rPr>
        <w:t xml:space="preserve">2.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спорам, указанным в статье 225.1 настоящего Кодекса, в пределах от десяти тысяч до одного миллиона рублей, по другим спорам - от одной тысячи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Иск о возмещении убытков или выплате компенсации предъявляется в арбитражный суд, рассматривавший дело, по которому принимались обеспечительные меры.</w:t>
      </w:r>
    </w:p>
    <w:p>
      <w:pPr>
        <w:spacing w:after="120"/>
        <w:ind w:firstLine="709"/>
      </w:pPr>
      <w:r>
        <w:rPr>
          <w:sz w:val="24"/>
        </w:rPr>
        <w:t xml:space="preserve">4. Правила, установленные настоящей статьей, применяются в случаях оставления иска без рассмотрения по основаниям, предусмотренным пунктами 1 и 2 части 1 статьи 148 настоящего Кодекса, а также в случаях прекращения производства по делу по основаниям, предусмотренным пунктами 2 - 4 части 1 статьи 150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98</dc:title>
  <dc:creator>АРБИТРАЖ! · arbi.ru</dc:creator>
  <cp:lastModifiedBy>АРБИТРАЖ!</cp:lastModifiedBy>
  <dcterms:created xsi:type="dcterms:W3CDTF">2026-10-22T20:13:32.296Z</dcterms:created>
</cp:coreProperties>
</file>