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судебных споров. Ситуации, связанные со ст. 101 АПК РФ</w:t>
      </w:r>
    </w:p>
    <w:p>
      <w:pPr>
        <w:spacing w:after="120"/>
        <w:ind w:firstLine="709"/>
      </w:pPr>
      <w:r>
        <w:rPr>
          <w:sz w:val="24"/>
        </w:rPr>
        <w:t xml:space="preserve">- Сторона арбитражного спора хочет взыскать с другой стороны расходы на уплату госпошлины</w:t>
      </w:r>
    </w:p>
    <w:p>
      <w:pPr>
        <w:spacing w:after="120"/>
        <w:ind w:firstLine="709"/>
      </w:pPr>
      <w:r>
        <w:rPr>
          <w:sz w:val="24"/>
        </w:rPr>
        <w:t xml:space="preserve">Судебные расходы состоят из государственной пошлины и судебных издержек, связанных с рассмотрением дела арбитражным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101</dc:title>
  <dc:creator>АРБИТРАЖ! · arbi.ru</dc:creator>
  <cp:lastModifiedBy>АРБИТРАЖ!</cp:lastModifiedBy>
  <dcterms:created xsi:type="dcterms:W3CDTF">2026-10-22T06:42:27.708Z</dcterms:created>
</cp:coreProperties>
</file>