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102 АПК РФ</w:t>
      </w:r>
    </w:p>
    <w:p>
      <w:pPr>
        <w:spacing w:after="120"/>
        <w:ind w:firstLine="709"/>
      </w:pPr>
      <w:r>
        <w:rPr>
          <w:sz w:val="24"/>
        </w:rPr>
        <w:t xml:space="preserve">- Истец (заявитель) хочет отменить определение о возвращении искового заявления (заявления) в связи с отказом в предоставлении отсрочки или рассрочки в уплате госпошлины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апелляционной жалобы, вынесенное в связи с отказом в предоставлении отсрочки или рассрочки в уплате госпошлины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102</dc:title>
  <dc:creator>АРБИТРАЖ! · arbi.ru</dc:creator>
  <cp:lastModifiedBy>АРБИТРАЖ!</cp:lastModifiedBy>
  <dcterms:created xsi:type="dcterms:W3CDTF">2026-10-22T22:47:07.242Z</dcterms:created>
</cp:coreProperties>
</file>