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103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Цена иска определяется:</w:t>
      </w:r>
    </w:p>
    <w:p>
      <w:pPr>
        <w:spacing w:after="120"/>
        <w:ind w:firstLine="709"/>
      </w:pPr>
      <w:r>
        <w:rPr>
          <w:sz w:val="24"/>
        </w:rPr>
        <w:t xml:space="preserve">1) по искам о взыскании денежных средств, исходя из взыскиваемой суммы;</w:t>
      </w:r>
    </w:p>
    <w:p>
      <w:pPr>
        <w:spacing w:after="120"/>
        <w:ind w:firstLine="709"/>
      </w:pPr>
      <w:r>
        <w:rPr>
          <w:sz w:val="24"/>
        </w:rPr>
        <w:t xml:space="preserve">2) по искам о признании не подлежащим исполнению исполнительного или иного документа, по которому взыскание производится в бесспорном (безакцептном) порядке, исходя из оспариваемой денежной суммы;</w:t>
      </w:r>
    </w:p>
    <w:p>
      <w:pPr>
        <w:spacing w:after="120"/>
        <w:ind w:firstLine="709"/>
      </w:pPr>
      <w:r>
        <w:rPr>
          <w:sz w:val="24"/>
        </w:rPr>
        <w:t xml:space="preserve">3) по искам об истребовании имущества, исходя из стоимости истребуемого имущества;</w:t>
      </w:r>
    </w:p>
    <w:p>
      <w:pPr>
        <w:spacing w:after="120"/>
        <w:ind w:firstLine="709"/>
      </w:pPr>
      <w:r>
        <w:rPr>
          <w:sz w:val="24"/>
        </w:rPr>
        <w:t xml:space="preserve">4) по искам об истребовании земельного участка, исходя из стоимости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В цену иска включаются также указанные в исковом заявлении суммы неустойки (штраф, пени) и проценты.</w:t>
      </w:r>
    </w:p>
    <w:p>
      <w:pPr>
        <w:spacing w:after="120"/>
        <w:ind w:firstLine="709"/>
      </w:pPr>
      <w:r>
        <w:rPr>
          <w:sz w:val="24"/>
        </w:rPr>
        <w:t xml:space="preserve">Цена иска, состоящего из нескольких самостоятельных требований, определяется суммой всех требований.</w:t>
      </w:r>
    </w:p>
    <w:p>
      <w:pPr>
        <w:spacing w:after="120"/>
        <w:ind w:firstLine="709"/>
      </w:pPr>
      <w:r>
        <w:rPr>
          <w:sz w:val="24"/>
        </w:rPr>
        <w:t xml:space="preserve">2. По исковым заявлениям о признании права, в том числе права собственности, права пользования, права владения, права распоряжения, государственная пошлина уплачивается в размерах , установленных для исковых заявлений неимущественного характера.</w:t>
      </w:r>
    </w:p>
    <w:p>
      <w:pPr>
        <w:spacing w:after="120"/>
        <w:ind w:firstLine="709"/>
      </w:pPr>
      <w:r>
        <w:rPr>
          <w:sz w:val="24"/>
        </w:rPr>
        <w:t xml:space="preserve">3. Цена иска указывается заявителем.</w:t>
      </w:r>
    </w:p>
    <w:p>
      <w:pPr>
        <w:spacing w:after="120"/>
        <w:ind w:firstLine="709"/>
      </w:pPr>
      <w:r>
        <w:rPr>
          <w:sz w:val="24"/>
        </w:rPr>
        <w:t xml:space="preserve">В случае неправильного указания заявителем цены иска она определяется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103</dc:title>
  <dc:creator>АРБИТРАЖ! · arbi.ru</dc:creator>
  <cp:lastModifiedBy>АРБИТРАЖ!</cp:lastModifiedBy>
  <dcterms:created xsi:type="dcterms:W3CDTF">2026-10-22T20:09:25.960Z</dcterms:created>
</cp:coreProperties>
</file>