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112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9.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Вопросы распределения судебных расходов, отнесения судебных расходов на лицо, злоупотребляющее своими процессуальными правами, и другие вопросы о судебных расходах разрешаются арбитражным судом соответствующей судебной инстанции в судебном акте, которым заканчивается рассмотрение дела по существу, или в определении.</w:t>
      </w:r>
    </w:p>
    <w:p>
      <w:pPr>
        <w:spacing w:after="120"/>
        <w:ind w:firstLine="709"/>
      </w:pPr>
      <w:r>
        <w:rPr>
          <w:sz w:val="24"/>
        </w:rPr>
        <w:t xml:space="preserve">2. Заявление по вопросу о судебных расходах, понесенных в связи с рассмотрением дела в арбитражном суде первой, апелляционной, кассационной инстанций, рассмотрением дела в порядке надзора, не разрешенному при рассмотрении дела в соответствующем суде, может быть подано в арбитражный суд, рассматривавший дело в качестве суда первой инстанции, в течение трех месяцев со дня вступления в законную силу последнего судебного акта, принятием которого закончилось рассмотрение дела по существу.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Пропущенный по уважительной причине срок подачи такого заявления может быть восстановлен судом.</w:t>
      </w:r>
    </w:p>
    <w:p>
      <w:pPr>
        <w:spacing w:after="120"/>
        <w:ind w:firstLine="709"/>
      </w:pPr>
      <w:r>
        <w:rPr>
          <w:sz w:val="24"/>
        </w:rPr>
        <w:t xml:space="preserve">Заявление по вопросу о судебных расходах рассматривается по правилам, предусмотренным статьей 159 настоящего Кодекса, с учетом особенностей, установленных главой 29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25.12.2023 N 667-ФЗ)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 результатам рассмотрения такого заявления выносится определение, которое может быть обжаловано.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112</dc:title>
  <dc:creator>АРБИТРАЖ! · arbi.ru</dc:creator>
  <cp:lastModifiedBy>АРБИТРАЖ!</cp:lastModifiedBy>
  <dcterms:created xsi:type="dcterms:W3CDTF">2026-10-22T11:37:23.988Z</dcterms:created>
</cp:coreProperties>
</file>