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восстановлении срока на предъявление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составлении мотивированного решения, вынесенное судом в связи с пропуском заявителем срока подачи заявления</w:t>
      </w:r>
    </w:p>
    <w:p>
      <w:pPr>
        <w:spacing w:after="120"/>
        <w:ind w:firstLine="709"/>
      </w:pPr>
      <w:r>
        <w:rPr>
          <w:sz w:val="24"/>
        </w:rPr>
        <w:t xml:space="preserve">1. Процессуальный срок подлежит восстановлению по ходатайству лица, участвующего в деле,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 , 276 , 291.2 , 308.1 и 312 настоящего Кодекса предельные допустимые сроки для восстановления.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31.03.2005 N 25-ФЗ , от 28.06.2014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Ходатайство о восстановлении пропущенного процессуального срока подается в арбитражный суд, в котором должно быть совершено процессуальное действие. Одновременно с подачей ходатайства совершаются необходимые процессуальные действия (подается заявление, жалоба, представляются документы и другое), в отношении которых пропущен срок.</w:t>
      </w:r>
    </w:p>
    <w:p>
      <w:pPr>
        <w:spacing w:after="120"/>
        <w:ind w:firstLine="709"/>
      </w:pPr>
      <w:r>
        <w:rPr>
          <w:sz w:val="24"/>
        </w:rPr>
        <w:t xml:space="preserve">4.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лиц, участвующих в деле,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Восстановление пропущенного процессуального срока арбитражным судом указывается в соответствующем судебном акте.</w:t>
      </w:r>
    </w:p>
    <w:p>
      <w:pPr>
        <w:spacing w:after="120"/>
        <w:ind w:firstLine="709"/>
      </w:pPr>
      <w:r>
        <w:rPr>
          <w:sz w:val="24"/>
        </w:rPr>
        <w:t xml:space="preserve">5. Об отказе в восстановлении пропущенного процессуального срока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лицу, обратившемуся с ходатайством,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6. Определение арбитражного суда об отказе в восстановлении пропущенного процессуального срока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117</dc:title>
  <dc:creator>АРБИТРАЖ! · arbi.ru</dc:creator>
  <cp:lastModifiedBy>АРБИТРАЖ!</cp:lastModifiedBy>
  <dcterms:created xsi:type="dcterms:W3CDTF">2026-10-22T20:13:04.354Z</dcterms:created>
</cp:coreProperties>
</file>