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Исковое заявление подается в арбитражный суд на бумажном носителе или в электронном виде, в том числе в форме электронного документа. Исковое заявление подписывается истцом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Исковое заявление, подаваемое в электронном виде, содержащее ходатайство об обеспечении иска,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исковом заявлении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2) сведения об истце: для гражданина - фамилия, имя, отчество (при наличии), дата и место рождения, место жительства или место пребывания , место работы или дата и место государственной регистрации в качестве индивидуального предпринимателя и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номера телефонов, факсов, адреса электронной почты; для организации - наименование, адрес, идентификационный номер налогоплательщика, номера телефонов, факсов, адреса электронной почты;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об ответчике: для гражданина - фамилия, имя, отчество (при наличии), дата и место рождения, место жительства или место пребывания, место работы (если известно) и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номер. В случае, если гражданину неизвестны дата и место рождения ответчика, один из его идентификаторов,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дел. В этом случае срок принятия искового заявления к производству арбитражного суда, предусмотренный частью 1 статьи 127 настоящего Кодекса, исчисляется со дня получения арбитражным судом такой информации;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21.12.2021 N 417-ФЗ , от 28.12.2022 N 569-ФЗ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требования истца к ответчику со ссылкой на законы и иные нормативные правовые акты, а при предъявлении иска к нескольким ответчикам - требования к каждому из них;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на которых основаны исковые требования, и подтверждающие эти обстоятельства доказательства;</w:t>
      </w:r>
    </w:p>
    <w:p>
      <w:pPr>
        <w:spacing w:after="120"/>
        <w:ind w:firstLine="709"/>
      </w:pPr>
      <w:r>
        <w:rPr>
          <w:sz w:val="24"/>
        </w:rPr>
        <w:t xml:space="preserve">6) цена иска, если иск подлежит оценке;</w:t>
      </w:r>
    </w:p>
    <w:p>
      <w:pPr>
        <w:spacing w:after="120"/>
        <w:ind w:firstLine="709"/>
      </w:pPr>
      <w:r>
        <w:rPr>
          <w:sz w:val="24"/>
        </w:rPr>
        <w:t xml:space="preserve">7) расчет взыскиваемой или оспариваемой денежной суммы;</w:t>
      </w:r>
    </w:p>
    <w:p>
      <w:pPr>
        <w:spacing w:after="120"/>
        <w:ind w:firstLine="709"/>
      </w:pPr>
      <w:r>
        <w:rPr>
          <w:sz w:val="24"/>
        </w:rPr>
        <w:t xml:space="preserve">8) сведения о соблюдении истцом претензионного или иного досудебного порядка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сведения о предпринятых стороной (сторонами) действиях, направленных на примирение, если такие действия предпринимались;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9) сведения о мерах , принятых арбитражным судом по обеспечению имущественных интересов до предъявления иска;</w:t>
      </w:r>
    </w:p>
    <w:p>
      <w:pPr>
        <w:spacing w:after="120"/>
        <w:ind w:firstLine="709"/>
      </w:pPr>
      <w:r>
        <w:rPr>
          <w:sz w:val="24"/>
        </w:rPr>
        <w:t xml:space="preserve">10)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указаны и иные сведения, если они необходимы для правильного и своевременного рассмотрения дела, могут содержаться ходатайства, в том числе ходатайства об истребовании доказательств от ответчика или других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Истец обязан направить другим лицам, участвующим в деле, копии искового заявления и прилагаемых к нему документов, которые у них отсутствуют, заказным письмом с уведомлением о вручении или в электронном виде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125</dc:title>
  <dc:creator>АРБИТРАЖ! · arbi.ru</dc:creator>
  <cp:lastModifiedBy>АРБИТРАЖ!</cp:lastModifiedBy>
  <dcterms:created xsi:type="dcterms:W3CDTF">2026-10-22T22:20:11.003Z</dcterms:created>
</cp:coreProperties>
</file>