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обязан принять к производству исковое заявление, поданное с соблюдением требований, предъявляемых настоящим Кодексом к его форме и содержанию .</w:t>
      </w:r>
    </w:p>
    <w:p>
      <w:pPr>
        <w:spacing w:after="120"/>
        <w:ind w:firstLine="709"/>
      </w:pPr>
      <w:r>
        <w:rPr>
          <w:sz w:val="24"/>
        </w:rPr>
        <w:t xml:space="preserve">3. О принятии искового заявления арбитражный суд выносит определение, которым возбуждается производство по делу.</w:t>
      </w:r>
    </w:p>
    <w:p>
      <w:pPr>
        <w:spacing w:after="120"/>
        <w:ind w:firstLine="709"/>
      </w:pPr>
      <w:r>
        <w:rPr>
          <w:sz w:val="24"/>
        </w:rPr>
        <w:t xml:space="preserve">4. В определении указывается на подготовку дела к судебному разбирательству, действия, которые надлежит совершить лицам, участвующим в деле, в том числе для примирения, сроки их совершения, а также адрес официального сайта в информационно-телекоммуникационной сети "Интернет", на котором размещается информация о деятельности арбитражного суда, номера телефонов, факсимильной связи, адреса электронной почты арбитражного суда, по которым лица, участвующие в деле, могут получить информацию о рассматриваемом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11.07.2011 N 200-ФЗ , от 26.07.2019 N 197-ФЗ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Копии определения о принятии искового заявления к производству арбитражного суда направляются лицам, участвующим в деле, не позднее следующего дня после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127</dc:title>
  <dc:creator>АРБИТРАЖ! · arbi.ru</dc:creator>
  <cp:lastModifiedBy>АРБИТРАЖ!</cp:lastModifiedBy>
  <dcterms:created xsi:type="dcterms:W3CDTF">2026-10-22T16:09:33.964Z</dcterms:created>
</cp:coreProperties>
</file>