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первой инстанции после принятия заявления к производству выносит определение о подготовке дела к судебному разбирательству и указывает сторонам на возможность заявить ходатайство о рассмотрении дела с участием арбитражных заседателей, обратиться за содействием к суду или посреднику, в том числе медиатору, судебному примирителю, в целях урегулирования спора или использовать другие примирительные процедуры, а также на действия, которые надлежит совершить лицам, участвующим в деле, и сроки совершения этих действий.</w:t>
      </w:r>
    </w:p>
    <w:p>
      <w:pPr>
        <w:spacing w:after="120"/>
        <w:ind w:firstLine="709"/>
      </w:pPr>
      <w:r>
        <w:rPr>
          <w:sz w:val="24"/>
        </w:rPr>
        <w:t xml:space="preserve">В целях урегулирования спора судья принимает меры для примирения сторон, в том числе может предложить сторонам использовать какую-либо примирительную процедуру, отложить проведение предварительного судебного заседания, совершение других подготовительных действий.</w:t>
      </w:r>
    </w:p>
    <w:p>
      <w:pPr>
        <w:spacing w:after="120"/>
        <w:ind w:firstLine="709"/>
      </w:pPr>
      <w:r>
        <w:rPr>
          <w:sz w:val="24"/>
        </w:rPr>
        <w:t xml:space="preserve">На подготовку дела к судебному разбирательству может быть указано в определении о принятии заявления к производству.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Подготовка дела к судебному разбирательству проводится в срок, определяемый судьей с учетом обстоятельств конкретного дела и необходимости совершения соответствующих процессуальных действий, и завершается проведением предварительного судебного заседания, если в соответствии с настоящим Кодексом не установлено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134</dc:title>
  <dc:creator>АРБИТРАЖ! · arbi.ru</dc:creator>
  <cp:lastModifiedBy>АРБИТРАЖ!</cp:lastModifiedBy>
  <dcterms:created xsi:type="dcterms:W3CDTF">2026-10-22T12:55:24.185Z</dcterms:created>
</cp:coreProperties>
</file>