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137 АПК РФ &gt;&gt;&gt;</w:t>
      </w:r>
    </w:p>
    <w:p>
      <w:pPr>
        <w:spacing w:after="120"/>
        <w:ind w:firstLine="709"/>
      </w:pPr>
      <w:r>
        <w:rPr>
          <w:sz w:val="24"/>
        </w:rPr>
        <w:t xml:space="preserve">1. Судья, признав дело подготовленным, выносит определение о назначении дела к судебному разбирательству.</w:t>
      </w:r>
    </w:p>
    <w:p>
      <w:pPr>
        <w:spacing w:after="120"/>
        <w:ind w:firstLine="709"/>
      </w:pPr>
      <w:r>
        <w:rPr>
          <w:sz w:val="24"/>
        </w:rPr>
        <w:t xml:space="preserve">2. В определении о назначении дела к судебному разбирательству указывается на окончание подготовки дела к судебному разбирательству и разрешение вопросов о привлечении к делу третьих лиц, принятие встречного иска, соединение или разъединение нескольких требований, привлечение арбитражных заседателей, а также на разрешение других вопросов, если по ним не были вынесены соответствующие определения, время и место проведения судебного заседания в арбитражном суде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3. Копии определения о назначении дела к судебному разбирательству направляются лицам 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4. Если в предварительном судебном заседании присутствуют лица, участвующие в деле, либо лица, участвующие в деле, отсутствуют в предварительном судебном заседании, но они извещены о времени и месте судебного заседания или совершения отдельного процессуального действия и ими не были заявлены возражения относительно рассмотрения дела в их отсутствие, суд вправе завершить предварительное судебное заседание и открыть судебное заседание в первой инстанции, за исключением случая, если в соответствии с настоящим Кодексом требуется коллегиальное рассмотрение данного дела.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137</dc:title>
  <dc:creator>АРБИТРАЖ! · arbi.ru</dc:creator>
  <cp:lastModifiedBy>АРБИТРАЖ!</cp:lastModifiedBy>
  <dcterms:created xsi:type="dcterms:W3CDTF">2026-10-22T23:59:15.133Z</dcterms:created>
</cp:coreProperties>
</file>