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138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принимает меры для примирения сторон, содействует им в урегулировании спора, руководствуясь при этом интересами сторон и задачами судопроизводства в арбитражных судах.</w:t>
      </w:r>
    </w:p>
    <w:p>
      <w:pPr>
        <w:spacing w:after="120"/>
        <w:ind w:firstLine="709"/>
      </w:pPr>
      <w:r>
        <w:rPr>
          <w:sz w:val="24"/>
        </w:rPr>
        <w:t xml:space="preserve">2. Примирение сторон осуществляется на основе принципов добровольности, сотрудничества, равноправия и конфиденциальности.</w:t>
      </w:r>
    </w:p>
    <w:p>
      <w:pPr>
        <w:spacing w:after="120"/>
        <w:ind w:firstLine="709"/>
      </w:pPr>
      <w:r>
        <w:rPr>
          <w:sz w:val="24"/>
        </w:rPr>
        <w:t xml:space="preserve">3. Стороны пользуются равными правами на выбор примирительной процедуры, определение условий ее проведения, а также кандидатуры посредника, в том числе медиатора, судебного примирителя. По указанным вопросам сторонами может быть заключено соглашение.</w:t>
      </w:r>
    </w:p>
    <w:p>
      <w:pPr>
        <w:spacing w:after="120"/>
        <w:ind w:firstLine="709"/>
      </w:pPr>
      <w:r>
        <w:rPr>
          <w:sz w:val="24"/>
        </w:rPr>
        <w:t xml:space="preserve">4. Примирение сторон возможно на любой стадии арбитражного процесса и при исполнении судебного акта, если иное не предусмотрено настоящим Кодексом и иным федеральным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138</dc:title>
  <dc:creator>АРБИТРАЖ! · arbi.ru</dc:creator>
  <cp:lastModifiedBy>АРБИТРАЖ!</cp:lastModifiedBy>
  <dcterms:created xsi:type="dcterms:W3CDTF">2026-10-22T06:40:07.353Z</dcterms:created>
</cp:coreProperties>
</file>