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153.2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</w:t>
      </w:r>
    </w:p>
    <w:p>
      <w:pPr>
        <w:spacing w:after="120"/>
        <w:ind w:firstLine="709"/>
      </w:pPr>
      <w:r>
        <w:rPr>
          <w:sz w:val="24"/>
        </w:rPr>
        <w:t xml:space="preserve">Установление личности гражданина, его представителя или представителя юридического лица, участвующих в судебном заседании путем использования системы веб-конференции,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единой биометрической системы).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 электронном виде заблаговременно направляет лицам, участвующим в деле, информацию, необходимую для участия в судебном заседании путем использования системы веб-конференции. При отказе в удовлетворении ходатайства об участии в судебном заседании путем использования системы веб-конференции арбитражный суд в электронном виде направляет лицам, участвующим в деле, информацию о таком отказе с указанием его оснований.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25.12.2023 N 667-ФЗ.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суд, рассматривающий дело, отказывает в удовлетворении ходатайства об участии в судебном заседании путем использования системы веб-конференции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отсутствует техническая возможность для участия в судебном заседании с использованием системы веб-конференции;</w:t>
      </w:r>
    </w:p>
    <w:p>
      <w:pPr>
        <w:spacing w:after="120"/>
        <w:ind w:firstLine="709"/>
      </w:pPr>
      <w:r>
        <w:rPr>
          <w:sz w:val="24"/>
        </w:rPr>
        <w:t xml:space="preserve">2) разбирательство дела осуществляется в закрытом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и иные участники арбитражного процесса, участвующие в судебном заседании путем использования системы веб-конференции, вправе в ходе судебного заседания подавать в арбитражный суд заявления, ходатайства и прилагаемые к ним документы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суд, рассматривающий дело, берет подписку у свидетелей, экспертов, переводчиков, участвующих в судебном заседании путем использования системы веб-конференции, о разъяснении им прав и обязанностей и предупреждении об ответственности за их нарушение, которая представляется в арбитражный суд в форме электронного документа, подписанного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5. При использовании системы веб-конференции составляется протокол и ведется видеозапись судебного заседания. Материальный носитель видеозаписи судебного заседания приобщается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153.2</dc:title>
  <dc:creator>АРБИТРАЖ! · arbi.ru</dc:creator>
  <cp:lastModifiedBy>АРБИТРАЖ!</cp:lastModifiedBy>
  <dcterms:created xsi:type="dcterms:W3CDTF">2026-10-22T12:55:22.373Z</dcterms:created>
</cp:coreProperties>
</file>