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Непредставление отзыва на исковое заявление или дополнительных доказательств, которые арбитражный суд предложил представить лицам, участвующим в деле, не является препятствием к рассмотрению дела по имеющимся в деле доказательствам.</w:t>
      </w:r>
    </w:p>
    <w:p>
      <w:pPr>
        <w:spacing w:after="120"/>
        <w:ind w:firstLine="709"/>
      </w:pPr>
      <w:r>
        <w:rPr>
          <w:sz w:val="24"/>
        </w:rPr>
        <w:t xml:space="preserve">2. Стороны вправе известить арбитражный суд о возможности рассмотрения дела в их отсутствие.</w:t>
      </w:r>
    </w:p>
    <w:p>
      <w:pPr>
        <w:spacing w:after="120"/>
        <w:ind w:firstLine="709"/>
      </w:pPr>
      <w:r>
        <w:rPr>
          <w:sz w:val="24"/>
        </w:rPr>
        <w:t xml:space="preserve">3. При неявке в судебное заседание арбитражного суда истца и (или) ответчика, надлежащим образом извещенных о времени и месте судебного разбирательства, суд вправе рассмотреть дело в их отсутствие.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судебное заседание не явились лица, участвующие в деле, а их явка в соответствии с настоящим Кодексом была признана обязательной арбитражным судом, суд может наложить на указанных лиц судебный штраф в порядке и в размерах, которые предусмотрены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При неявке в судебное заседание иных лиц, участвующих в деле и надлежащим образом извещенных о времени и месте судебного разбирательства, суд рассматривает дело в их отсутствие.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156</dc:title>
  <dc:creator>АРБИТРАЖ! · arbi.ru</dc:creator>
  <cp:lastModifiedBy>АРБИТРАЖ!</cp:lastModifiedBy>
  <dcterms:created xsi:type="dcterms:W3CDTF">2026-10-22T05:39:55.980Z</dcterms:created>
</cp:coreProperties>
</file>