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разрешении спора по существу арбитражный суд первой инстанции принимает решение. Решение принимается именем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может принять отдельное решение по каждому из требований, объединенных в одном деле.</w:t>
      </w:r>
    </w:p>
    <w:p>
      <w:pPr>
        <w:spacing w:after="120"/>
        <w:ind w:firstLine="709"/>
      </w:pPr>
      <w:r>
        <w:rPr>
          <w:sz w:val="24"/>
        </w:rPr>
        <w:t xml:space="preserve">3. Решение принимается судьями, участвующими в судебном заседании, в условиях, обеспечивающих тайну совещания судей.</w:t>
      </w:r>
    </w:p>
    <w:p>
      <w:pPr>
        <w:spacing w:after="120"/>
        <w:ind w:firstLine="709"/>
      </w:pPr>
      <w:r>
        <w:rPr>
          <w:sz w:val="24"/>
        </w:rPr>
        <w:t xml:space="preserve">4. В помещении, в котором арбитражный суд проводит совещание и принимает судебный акт, могут находиться только лица, входящие в состав суда, рассматривающего дело. Запрещается доступ в это помещение других лиц, а также иные способы общения с лицами, входящими в состав суда.</w:t>
      </w:r>
    </w:p>
    <w:p>
      <w:pPr>
        <w:spacing w:after="120"/>
        <w:ind w:firstLine="709"/>
      </w:pPr>
      <w:r>
        <w:rPr>
          <w:sz w:val="24"/>
        </w:rPr>
        <w:t xml:space="preserve">5. Судьи арбитражного суда не вправе сообщать кому бы то ни было сведения о содержании обсуждения при принятии судебного акта, о позиции отдельных судей, входивших в состав суда, и иным способом раскрывать тайну совещания судей. При этом судьи арбитражного суда не лишены права в соответствии со статьей 20 настоящего Кодекса изложить свое особое мнение, что не может рассматриваться как нарушение тайны совещания судей.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167</dc:title>
  <dc:creator>АРБИТРАЖ! · arbi.ru</dc:creator>
  <cp:lastModifiedBy>АРБИТРАЖ!</cp:lastModifiedBy>
  <dcterms:created xsi:type="dcterms:W3CDTF">2026-10-22T19:04:45.689Z</dcterms:created>
</cp:coreProperties>
</file>