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171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удовлетворении требования о взыскании денежных средств в резолютивной части решения арбитражный суд указывает общий размер подлежащих взысканию денежных сумм с раздельным определением основной задолженности, убытков, неустойки (штрафа, пеней) и процентов.</w:t>
      </w:r>
    </w:p>
    <w:p>
      <w:pPr>
        <w:spacing w:after="120"/>
        <w:ind w:firstLine="709"/>
      </w:pPr>
      <w:r>
        <w:rPr>
          <w:sz w:val="24"/>
        </w:rPr>
        <w:t xml:space="preserve">2. При присуждении имущества арбитражный суд указывает наименование имущества, подлежащего передаче истцу, его стоимость и место нахождения.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171</dc:title>
  <dc:creator>АРБИТРАЖ! · arbi.ru</dc:creator>
  <cp:lastModifiedBy>АРБИТРАЖ!</cp:lastModifiedBy>
  <dcterms:created xsi:type="dcterms:W3CDTF">2026-10-22T19:04:39.567Z</dcterms:created>
</cp:coreProperties>
</file>