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176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по причине его неподписания судьей или подписания не тем судьей, который в нем указан</w:t>
      </w:r>
    </w:p>
    <w:p>
      <w:pPr>
        <w:spacing w:after="120"/>
        <w:ind w:firstLine="709"/>
      </w:pPr>
      <w:r>
        <w:rPr>
          <w:sz w:val="24"/>
        </w:rPr>
        <w:t xml:space="preserve">1. Решение арбитражного суда объявляется председательствующим в том судебном заседании, в котором закончено рассмотрение дела по существу, после принятия решения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В судебном заседании, в котором закончено рассмотрение дела по существу, может быть объявлена только резолютивная часть принятого решения. В этом случае арбитражный суд объявляет, когда будет изготовлено решение в полном объеме и разъясняет порядок доведения его до сведения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Изготовление решения в полном объеме может быть отложено на срок, не превышающий десяти дней. Дата изготовления решения в полном объеме считается датой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Объявленная резолютивная часть решения должна быть подписана всеми судьями, участвовавшими в рассмотрении дела и принятии решения, и приобщена к делу.</w:t>
      </w:r>
    </w:p>
    <w:p>
      <w:pPr>
        <w:spacing w:after="120"/>
        <w:ind w:firstLine="709"/>
      </w:pPr>
      <w:r>
        <w:rPr>
          <w:sz w:val="24"/>
        </w:rPr>
        <w:t xml:space="preserve">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носителе, который также приобщается к делу.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4. Председательствующий в судебном заседании после объявления решения разъясняет порядок его обжалования.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176</dc:title>
  <dc:creator>АРБИТРАЖ! · arbi.ru</dc:creator>
  <cp:lastModifiedBy>АРБИТРАЖ!</cp:lastModifiedBy>
  <dcterms:created xsi:type="dcterms:W3CDTF">2026-10-22T13:35:29.928Z</dcterms:created>
</cp:coreProperties>
</file>