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184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21. Определение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 выносит определения в случаях, предусмотренных настоящим Кодексом , и в других случаях по вопросам, требующим разрешения в ходе судебного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2. Определение выносится арбитражным судом в виде отдельного судебного акта или протокольного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Определение арбитражного суда в виде отдельного судебного акта выполняется в форме электронного документа. При отсутствии в арбитражном суде технической возможности для выполнения определения в форме электронного документа определение выполняется на бумажном носителе.</w:t>
      </w:r>
    </w:p>
    <w:p>
      <w:pPr>
        <w:spacing w:after="120"/>
        <w:ind w:firstLine="709"/>
      </w:pPr>
      <w:r>
        <w:rPr>
          <w:sz w:val="24"/>
        </w:rPr>
        <w:t xml:space="preserve">При выполнении определения в форме электронного документа дополнительно выполняется экземпляр данного определения на бумажном носителе.</w:t>
      </w:r>
    </w:p>
    <w:p>
      <w:pPr>
        <w:spacing w:after="120"/>
        <w:ind w:firstLine="709"/>
      </w:pPr>
      <w:r>
        <w:rPr>
          <w:sz w:val="24"/>
        </w:rPr>
        <w:t xml:space="preserve">Изготовление определения арбитражного суда в виде отдельного судебного акта в полном объеме может быть отложено на срок, не превышающий десяти дней. Дата изготовления определения в полном объеме считается датой вынесения определения.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25.12.2023 N 667-ФЗ)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23.06.2016 N 220-ФЗ)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Определение в виде отдельного судебного акта арбитражный суд выносит во всех случаях, если настоящим Кодексом предусмотрена возможность обжалования определения отдельно от обжалования судебного акта, которым заканчивается рассмотрение дела по существу.</w:t>
      </w:r>
    </w:p>
    <w:p>
      <w:pPr>
        <w:spacing w:after="120"/>
        <w:ind w:firstLine="709"/>
      </w:pPr>
      <w:r>
        <w:rPr>
          <w:sz w:val="24"/>
        </w:rPr>
        <w:t xml:space="preserve">В других случаях арбитражный суд вправе вынести определение как в виде отдельного судебного акта, так и в виде протокольного определения.</w:t>
      </w:r>
    </w:p>
    <w:p>
      <w:pPr>
        <w:spacing w:after="120"/>
        <w:ind w:firstLine="709"/>
      </w:pPr>
      <w:r>
        <w:rPr>
          <w:sz w:val="24"/>
        </w:rPr>
        <w:t xml:space="preserve">4. Определение в виде отдельного судебного акта арбитражный суд выносит в условиях, обеспечивающих тайну совещания судей, по правилам , установленным для принятия решения.</w:t>
      </w:r>
    </w:p>
    <w:p>
      <w:pPr>
        <w:spacing w:after="120"/>
        <w:ind w:firstLine="709"/>
      </w:pPr>
      <w:r>
        <w:rPr>
          <w:sz w:val="24"/>
        </w:rPr>
        <w:t xml:space="preserve">5. Протокольное определение может быть вынесено арбитражным судом без удаления из зала судебного заседания. В случае, если дело рассматривается в коллегиальном составе, судьи совещаются по вопросам, связанным с вынесением такого определения, на месте, в зале судебного заседания. Протокольное определение объявляется устно и заносится в протокол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184</dc:title>
  <dc:creator>АРБИТРАЖ! · arbi.ru</dc:creator>
  <cp:lastModifiedBy>АРБИТРАЖ!</cp:lastModifiedBy>
  <dcterms:created xsi:type="dcterms:W3CDTF">2026-10-22T17:04:42.317Z</dcterms:created>
</cp:coreProperties>
</file>