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188.1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21. Определение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02.03.2016 N 47-ФЗ)</w:t>
      </w:r>
    </w:p>
    <w:p>
      <w:pPr>
        <w:spacing w:after="120"/>
        <w:ind w:firstLine="709"/>
      </w:pPr>
      <w:r>
        <w:rPr>
          <w:sz w:val="24"/>
        </w:rPr>
        <w:t xml:space="preserve">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pPr>
        <w:spacing w:after="120"/>
        <w:ind w:firstLine="709"/>
      </w:pPr>
      <w:r>
        <w:rPr>
          <w:sz w:val="24"/>
        </w:rPr>
        <w:t xml:space="preserve">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pPr>
        <w:spacing w:after="120"/>
        <w:ind w:firstLine="709"/>
      </w:pPr>
      <w:r>
        <w:rPr>
          <w:sz w:val="24"/>
        </w:rPr>
        <w:t xml:space="preserve">3. Неисполнение частного определения арбитражного суда влечет за собой ответственность , предусмотренную законодательством Российской Федерации. Привлечение к ответственности указанных в части 1 настоящей статьи лиц не освобождает их от обязанности сообщить о мерах, принятых по частному определению арбитражного суда.</w:t>
      </w:r>
    </w:p>
    <w:p>
      <w:pPr>
        <w:spacing w:after="120"/>
        <w:ind w:firstLine="709"/>
      </w:pPr>
      <w:r>
        <w:rPr>
          <w:sz w:val="24"/>
        </w:rPr>
        <w:t xml:space="preserve">4. 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суд сообщает об этом в органы дознания или предварительного следствия.</w:t>
      </w:r>
    </w:p>
    <w:p>
      <w:pPr>
        <w:spacing w:after="120"/>
        <w:ind w:firstLine="709"/>
      </w:pPr>
      <w:r>
        <w:rPr>
          <w:sz w:val="24"/>
        </w:rPr>
        <w:t xml:space="preserve">(часть 4 введена Федеральным законом от 12.11.2019 N 374-ФЗ; в ред. Федерального закона от 25.12.2023 N 667-ФЗ)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188.1</dc:title>
  <dc:creator>АРБИТРАЖ! · arbi.ru</dc:creator>
  <cp:lastModifiedBy>АРБИТРАЖ!</cp:lastModifiedBy>
  <dcterms:created xsi:type="dcterms:W3CDTF">2026-10-22T16:45:15.886Z</dcterms:created>
</cp:coreProperties>
</file>