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199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24. 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 признании ненормативного правового акта недействительным, решений и действий (бездействия) незаконными должно соответствовать требованиям, предусмотренным частью 1 , пунктами 1 , 2 и 10 части 2 , частью 3 статьи 125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заявлении должны быть также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органа или лица, которые приняли оспариваемый акт, решение, совершили оспариваемые действия (бездействие);</w:t>
      </w:r>
    </w:p>
    <w:p>
      <w:pPr>
        <w:spacing w:after="120"/>
        <w:ind w:firstLine="709"/>
      </w:pPr>
      <w:r>
        <w:rPr>
          <w:sz w:val="24"/>
        </w:rPr>
        <w:t xml:space="preserve">2) название, номер, дата принятия оспариваемого акта, решения, время совершения действий;</w:t>
      </w:r>
    </w:p>
    <w:p>
      <w:pPr>
        <w:spacing w:after="120"/>
        <w:ind w:firstLine="709"/>
      </w:pPr>
      <w:r>
        <w:rPr>
          <w:sz w:val="24"/>
        </w:rPr>
        <w:t xml:space="preserve">3) права и законные интересы, которые, по мнению заявителя, нарушаются оспариваемым актом, решением и действием (бездействием);</w:t>
      </w:r>
    </w:p>
    <w:p>
      <w:pPr>
        <w:spacing w:after="120"/>
        <w:ind w:firstLine="709"/>
      </w:pPr>
      <w:r>
        <w:rPr>
          <w:sz w:val="24"/>
        </w:rPr>
        <w:t xml:space="preserve">4) законы и иные нормативные правовые акты, которым, по мнению заявителя, не соответствуют оспариваемый акт, решение и действие (бездействие);</w:t>
      </w:r>
    </w:p>
    <w:p>
      <w:pPr>
        <w:spacing w:after="120"/>
        <w:ind w:firstLine="709"/>
      </w:pPr>
      <w:r>
        <w:rPr>
          <w:sz w:val="24"/>
        </w:rPr>
        <w:t xml:space="preserve">5) требование заявителя о признании ненормативного правового акта недействительным, решений и действий (бездействия) незаконными.</w:t>
      </w:r>
    </w:p>
    <w:p>
      <w:pPr>
        <w:spacing w:after="120"/>
        <w:ind w:firstLine="709"/>
      </w:pPr>
      <w:r>
        <w:rPr>
          <w:sz w:val="24"/>
        </w:rPr>
        <w:t xml:space="preserve">В заявлении об оспаривании решений и действий (бездействия) должностного лица службы судебных приставов должны быть также указаны сведения об исполнительном документе, в связи с исполнением которого оспариваются решения и действия (бездействие) указанного должностного лица.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 заявлению прилагаются документы, указанные в статье 126 настоящего Кодекса, а также текст оспариваемого акта, решения.</w:t>
      </w:r>
    </w:p>
    <w:p>
      <w:pPr>
        <w:spacing w:after="120"/>
        <w:ind w:firstLine="709"/>
      </w:pPr>
      <w:r>
        <w:rPr>
          <w:sz w:val="24"/>
        </w:rPr>
        <w:t xml:space="preserve">К заявлению об оспаривании решений и действий (бездействия) должностного лица службы судебных приставов прилагаются, кроме того, уведомление о вручении или иные документы, подтверждающие направление копии заявления и необходимых доказательств указанному должностному лицу и другой стороне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 ходатайству заявителя арбитражный суд может приостановить действие оспариваемого акта, решения. Ходатайство о приостановлении исполнения решения государственного органа, органа местного самоуправления, иного органа, должностного лица,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199</dc:title>
  <dc:creator>АРБИТРАЖ! · arbi.ru</dc:creator>
  <cp:lastModifiedBy>АРБИТРАЖ!</cp:lastModifiedBy>
  <dcterms:created xsi:type="dcterms:W3CDTF">2026-10-22T11:37:39.902Z</dcterms:created>
</cp:coreProperties>
</file>