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делу о привлечении к административной ответственности принимается арбитражным судом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3. В резолютивной части решения о привлечении к административной ответственности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лица, привлеченного к административной ответственности, его адрес или место жительства, сведения о его государственной регистрации в качестве юридического лица или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нормы закона, на основании которых данное лицо привлекается к административной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3) вид административного наказания и санкции, возложенные на лицо, привлеченное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4. Решение по делу о привлечении к административной ответственности вступает в законную силу по истечении десяти дней со дня его принятия, если не подана апелляционная жалоба.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решение, если оно не изменено или не отменено, вступает в законную силу со дня принятия постановления арбитражным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4.1. Решение по делу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только в виде предупреждения и (или) в виде административного штрафа и размер назначенного административного штрафа не превышает для юридических лиц сто тысяч рублей, для физических лиц пять тысяч рублей, может быть обжаловано в арбитражный суд апелляционной инстанции. Такое решение, если оно было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186-ФЗ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 решения по делам о привлечении к административной ответственности обжалуются в порядке, установленном статьей 181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22.11.2016 N 393-ФЗ.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4.2. Исполнительный лист на основании судебного акта арбитражного суда по делу о привлечении к административной ответственности не выдается, принудительное исполнение производится непосредственно на основании этого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5.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лицам, участвующим в деле. Арбитражный суд может направить копию решения также в вышестоящий в порядке подчиненности административный орган.</w:t>
      </w:r>
    </w:p>
    <w:p/>
    <w:p>
      <w:pPr>
        <w:spacing w:after="120"/>
        <w:ind w:firstLine="709"/>
      </w:pPr>
      <w:r>
        <w:rPr>
          <w:sz w:val="24"/>
        </w:rPr>
        <w:t xml:space="preserve">§ 2. Рассмотрение дел об оспаривании решений административных органов о привлечении к административной ответственности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206</dc:title>
  <dc:creator>АРБИТРАЖ! · arbi.ru</dc:creator>
  <cp:lastModifiedBy>АРБИТРАЖ!</cp:lastModifiedBy>
  <dcterms:created xsi:type="dcterms:W3CDTF">2026-10-22T10:41:02.282Z</dcterms:created>
</cp:coreProperties>
</file>