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213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 Рассмотрение дел о взыскании обязательных платежей и санкций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Государственные органы, органы местного самоуправления, иные органы, наделенные в соответствии с федеральным законом контрольными функциями (далее - контрольные органы), вправе обратиться в арбитражный суд с заявлением о взыскании с лиц, осуществляющих предпринимательскую и иную экономическую деятельность, установленных законом обязательных платежей и санкций, если федеральным законом не предусмотрен иной порядок их взыскания.</w:t>
      </w:r>
    </w:p>
    <w:p>
      <w:pPr>
        <w:spacing w:after="120"/>
        <w:ind w:firstLine="709"/>
      </w:pPr>
      <w:r>
        <w:rPr>
          <w:sz w:val="24"/>
        </w:rPr>
        <w:t xml:space="preserve">2. Заявление о взыскании подается в арбитражный суд, если не исполнено требование заявителя об уплате взыскиваемой суммы в добровольном порядке или пропущен указанный в таком требовании срок уплаты.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213</dc:title>
  <dc:creator>АРБИТРАЖ! · arbi.ru</dc:creator>
  <cp:lastModifiedBy>АРБИТРАЖ!</cp:lastModifiedBy>
  <dcterms:created xsi:type="dcterms:W3CDTF">2026-10-22T19:05:56.377Z</dcterms:created>
</cp:coreProperties>
</file>