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взыскании обязательных платежей и санкций должно соответствовать требованиям, предусмотренным частью 1 , пунктами 1 , 2 и 10 части 2 , частью 3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платежа, подлежащего взысканию, размер и расчет его суммы;</w:t>
      </w:r>
    </w:p>
    <w:p>
      <w:pPr>
        <w:spacing w:after="120"/>
        <w:ind w:firstLine="709"/>
      </w:pPr>
      <w:r>
        <w:rPr>
          <w:sz w:val="24"/>
        </w:rPr>
        <w:t xml:space="preserve">2) нормы федерального закона и иного нормативного правового акта, предусматривающие уплату платежа;</w:t>
      </w:r>
    </w:p>
    <w:p>
      <w:pPr>
        <w:spacing w:after="120"/>
        <w:ind w:firstLine="709"/>
      </w:pPr>
      <w:r>
        <w:rPr>
          <w:sz w:val="24"/>
        </w:rPr>
        <w:t xml:space="preserve">3) сведения о направлении требования об уплате платежа в 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2. К заявлению о взыскании обязательных платежей и санкций прилагаются документы, указанные в пунктах 1 - 5 статьи 126 настоящего Кодекса, а также документ, подтверждающий направление заявителем требования об уплате взыскиваемого платежа в добровольном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214</dc:title>
  <dc:creator>АРБИТРАЖ! · arbi.ru</dc:creator>
  <cp:lastModifiedBy>АРБИТРАЖ!</cp:lastModifiedBy>
  <dcterms:created xsi:type="dcterms:W3CDTF">2026-10-22T13:10:38.326Z</dcterms:created>
</cp:coreProperties>
</file>