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27. Рассмотрение дел об установлении фактов, имеющих юридическое значение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Решение по делу об установлении факта, имеющего юридическое значение, принимается арбитражным судом по правилам, установленным в главе 20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удовлетворении судом заявления об установлении факта, имеющего юридическое значение, в резолютивной части решения указывается на наличие факта, имеющего юридическое значение, и излагается установленный факт.</w:t>
      </w:r>
    </w:p>
    <w:p>
      <w:pPr>
        <w:spacing w:after="120"/>
        <w:ind w:firstLine="709"/>
      </w:pPr>
      <w:r>
        <w:rPr>
          <w:sz w:val="24"/>
        </w:rPr>
        <w:t xml:space="preserve">3. Решение арбитражного суда об установлении факта, имеющего юридическое значение, является основанием для регистрации такого факта или оформления прав, которые возникают в связи с установленным фактом, соответствующими органами и не заменяет собой документы, выдаваемые этими органами.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222</dc:title>
  <dc:creator>АРБИТРАЖ! · arbi.ru</dc:creator>
  <cp:lastModifiedBy>АРБИТРАЖ!</cp:lastModifiedBy>
  <dcterms:created xsi:type="dcterms:W3CDTF">2026-10-22T12:06:36.941Z</dcterms:created>
</cp:coreProperties>
</file>