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Определения арбитражного суда, выносимые при рассмотрении дел по корпоративным спорам, обжалуются по правилам, установленным статьей 188 настоящего Кодекса. Жалобы на такие определения, за исключением определений о прекращении производства по делу и об оставлении заявления без рассмотрения, подаются в арбитражный суд апелляционной инстанции в течение десяти дней со дня их вынесения.</w:t>
      </w:r>
    </w:p>
    <w:p>
      <w:pPr>
        <w:spacing w:after="120"/>
        <w:ind w:firstLine="709"/>
      </w:pPr>
      <w:r>
        <w:rPr>
          <w:sz w:val="24"/>
        </w:rPr>
        <w:t xml:space="preserve">2. Подача жалобы на указанные в части 1 настоящей статьи определения не препятствует рассмотрению дела арбитражным судом и совершению отдельных процессуальных действий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225.9</dc:title>
  <dc:creator>АРБИТРАЖ! · arbi.ru</dc:creator>
  <cp:lastModifiedBy>АРБИТРАЖ!</cp:lastModifiedBy>
  <dcterms:created xsi:type="dcterms:W3CDTF">2026-10-22T11:37:29.911Z</dcterms:created>
</cp:coreProperties>
</file>