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28.2.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по делу о защите прав и законных интересов группы лиц принимается по правилам, установленным главой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установленные вступившим в законную силу решением арбитражного суда по ранее рассмотренному делу о защите прав и законных интересов группы лиц, не доказываются вновь при рассмотрении арбитражным судом другого дела по заявлению члена этой группы лиц, который ранее не присоединился либо отказался от заявления о присоединении к требованию о защите прав и законных интересов группы лиц, предъявленному к тому же ответчику и о том же предмете, за исключением случаев, если указанные обстоятельства оспариваются этим членом группы лиц.</w:t>
      </w:r>
    </w:p>
    <w:p>
      <w:pPr>
        <w:spacing w:after="120"/>
        <w:ind w:firstLine="709"/>
      </w:pPr>
      <w:r>
        <w:rPr>
          <w:sz w:val="24"/>
        </w:rPr>
        <w:t xml:space="preserve">3. В решении по делу о защите прав и законных интересов группы лиц, принятом в пользу группы лиц, арбитражный суд может указать на обязанность ответчика довести информацию о принятом решении до сведения всех членов группы лиц в установленный арбитражным судом срок через средства массовой информации или иным способом.</w:t>
      </w:r>
    </w:p>
    <w:p>
      <w:pPr>
        <w:spacing w:after="120"/>
        <w:ind w:firstLine="709"/>
      </w:pPr>
      <w:r>
        <w:rPr>
          <w:sz w:val="24"/>
        </w:rPr>
        <w:t xml:space="preserve">4. В резолютивной части решения по делу о защите прав и законных интересов группы лиц должны содержаться выводы в отношении каждого из членов группы, присоединившихся к требованию о защите прав и законных интересов группы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225.17</dc:title>
  <dc:creator>АРБИТРАЖ! · arbi.ru</dc:creator>
  <cp:lastModifiedBy>АРБИТРАЖ!</cp:lastModifiedBy>
  <dcterms:created xsi:type="dcterms:W3CDTF">2026-10-22T06:43:26.803Z</dcterms:created>
</cp:coreProperties>
</file>