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229.2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02.03.2016 N 47-ФЗ)</w:t>
      </w:r>
    </w:p>
    <w:p>
      <w:pPr>
        <w:spacing w:after="120"/>
        <w:ind w:firstLine="709"/>
      </w:pPr>
      <w:r>
        <w:rPr>
          <w:sz w:val="24"/>
        </w:rPr>
        <w:t xml:space="preserve">Судебный приказ выдается по делам, в которых:</w:t>
      </w:r>
    </w:p>
    <w:p>
      <w:pPr>
        <w:spacing w:after="120"/>
        <w:ind w:firstLine="709"/>
      </w:pPr>
      <w:r>
        <w:rPr>
          <w:sz w:val="24"/>
        </w:rPr>
        <w:t xml:space="preserve">1) требования вытекают из неисполнения или ненадлежащего исполнения договора и основаны на представленных взыскателем документах, устанавливающих денежные обязательства, если цена заявленных требований не превышает семьсот пятьдесят тысяч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25.12.2023 N 667-ФЗ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требование основано на совершенном нотариусом протесте векселя в неплатеже, неакцепте и недатировании акцепта, если цена заявленного требования не превышает семьсот пятьдесят тысяч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25.12.2023 N 667-ФЗ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заявлено требование о взыскании обязательных платежей и санкций, если указанный в заявлении общий размер подлежащей взысканию денежной суммы не превышает сто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229.2</dc:title>
  <dc:creator>АРБИТРАЖ! · arbi.ru</dc:creator>
  <cp:lastModifiedBy>АРБИТРАЖ!</cp:lastModifiedBy>
  <dcterms:created xsi:type="dcterms:W3CDTF">2026-10-22T09:48:58.656Z</dcterms:created>
</cp:coreProperties>
</file>