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235</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29.1. Приказное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предусмотренных федеральным законом ,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pPr>
        <w:spacing w:after="120"/>
        <w:ind w:firstLine="709"/>
      </w:pPr>
      <w:r>
        <w:rPr>
          <w:sz w:val="24"/>
        </w:rPr>
        <w:t xml:space="preserve">2. 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части 1 настоящей статьи.</w:t>
      </w:r>
    </w:p>
    <w:p>
      <w:pPr>
        <w:spacing w:after="120"/>
        <w:ind w:firstLine="709"/>
      </w:pPr>
      <w:r>
        <w:rPr>
          <w:sz w:val="24"/>
        </w:rPr>
        <w:t xml:space="preserve">3. Арбитражный суд рассматривает заявление по вопросу компетенции третейского суда по правилам, предусмотренным настоящим параграфом.</w:t>
      </w:r>
    </w:p>
    <w:p>
      <w:pPr>
        <w:spacing w:after="120"/>
        <w:ind w:firstLine="709"/>
      </w:pPr>
      <w:r>
        <w:rPr>
          <w:sz w:val="24"/>
        </w:rPr>
        <w:t xml:space="preserve">4. 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pPr>
        <w:spacing w:after="120"/>
        <w:ind w:firstLine="709"/>
      </w:pPr>
      <w:r>
        <w:rPr>
          <w:sz w:val="24"/>
        </w:rPr>
        <w:t xml:space="preserve">5. 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pPr>
        <w:spacing w:after="120"/>
        <w:ind w:firstLine="709"/>
      </w:pPr>
      <w:r>
        <w:rPr>
          <w:sz w:val="24"/>
        </w:rPr>
        <w:t xml:space="preserve">6. Определение арбитражного суда, указанное в части 5 настоящей статьи, не может быть обжаловано.</w:t>
      </w:r>
    </w:p>
    <w:p/>
    <w:p>
      <w:pPr>
        <w:spacing w:after="120"/>
        <w:ind w:firstLine="709"/>
      </w:pPr>
      <w:r>
        <w:rPr>
          <w:sz w:val="24"/>
        </w:rPr>
        <w:t xml:space="preserve">§ 2. Производство по делам о выдаче исполнительного листа на принудительное исполнение решения третейского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235</dc:title>
  <dc:creator>АРБИТРАЖ! · arbi.ru</dc:creator>
  <cp:lastModifiedBy>АРБИТРАЖ!</cp:lastModifiedBy>
  <dcterms:created xsi:type="dcterms:W3CDTF">2026-10-22T21:12:38.608Z</dcterms:created>
</cp:coreProperties>
</file>