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Правила, установленные настоящим параграфом, применяются при осуществлении арбитражным судом функций содействия в отношении третейского разбирательства, осуществляемого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соответствии с настоящим параграфом арбитражный суд осуществляет следующие функции содействия в отношении третейских судов по спорам, возникающим из гражданских правоотношений при осуществлении предпринимательской и иной экономической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разрешение вопросов, связанных с отводом третейского судьи;</w:t>
      </w:r>
    </w:p>
    <w:p>
      <w:pPr>
        <w:spacing w:after="120"/>
        <w:ind w:firstLine="709"/>
      </w:pPr>
      <w:r>
        <w:rPr>
          <w:sz w:val="24"/>
        </w:rPr>
        <w:t xml:space="preserve">2) разрешение вопросов, связанных с назначением третейского судьи;</w:t>
      </w:r>
    </w:p>
    <w:p>
      <w:pPr>
        <w:spacing w:after="120"/>
        <w:ind w:firstLine="709"/>
      </w:pPr>
      <w:r>
        <w:rPr>
          <w:sz w:val="24"/>
        </w:rPr>
        <w:t xml:space="preserve">3) разрешение вопросов, связанных с прекращением полномочий третейского судьи.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осуществляет функции, указанные в части 2 настоящей статьи, только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осуществляет функции, указанные в части 2 настоящей статьи, на основании заявления, поданного лицом или лицами, участвующими в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5. Заявление, указанное в части 4 настоящей статьи, подается в арбитражный суд субъекта Российской Федерации, на территории которого проводится соответствующее третейское разбирательство, в срок, не превышающий одного месяца со дня, когда лицу, подающему заявление, стало известно или должно было стать известно об обстоятельствах, являющихся основанием для подачи заявления.</w:t>
      </w:r>
    </w:p>
    <w:p>
      <w:pPr>
        <w:spacing w:after="120"/>
        <w:ind w:firstLine="709"/>
      </w:pPr>
      <w:r>
        <w:rPr>
          <w:sz w:val="24"/>
        </w:rPr>
        <w:t xml:space="preserve">6. Заявление, указанное в части 4 настоящей статьи, оплачивается государственной пошлиной в размере, предусмотренном федеральным законом для оплаты искового заявления неимущественного характера.</w:t>
      </w:r>
    </w:p>
    <w:p/>
    <w:p>
      <w:pPr>
        <w:spacing w:after="120"/>
        <w:ind w:firstLine="709"/>
      </w:pPr>
      <w:r>
        <w:rPr>
          <w:sz w:val="24"/>
        </w:rPr>
        <w:t xml:space="preserve">§ 2. Производство по делам о выдаче исполнительного листа на принудительное исполнение решения третейского суда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240.1</dc:title>
  <dc:creator>АРБИТРАЖ! · arbi.ru</dc:creator>
  <cp:lastModifiedBy>АРБИТРАЖ!</cp:lastModifiedBy>
  <dcterms:created xsi:type="dcterms:W3CDTF">2026-10-22T22:29:16.407Z</dcterms:created>
</cp:coreProperties>
</file>