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порядке, установленном главой 20 настоящего Кодекса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по делу о выдаче исполнительного листа на принудительное исполнение решения третейского суда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сведения о составе третейского суда, принявшего это решение;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постоянно действующего арбитражного учреждения , администрировавшего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решении третейского суда, о выдаче исполнительного листа на принудительное исполнение которого ходатайствует заявитель;</w:t>
      </w:r>
    </w:p>
    <w:p>
      <w:pPr>
        <w:spacing w:after="120"/>
        <w:ind w:firstLine="709"/>
      </w:pPr>
      <w:r>
        <w:rPr>
          <w:sz w:val="24"/>
        </w:rPr>
        <w:t xml:space="preserve">5) указание на выдачу исполнительного листа на принудительное исполнение решения третейского суда или отказ в выдаче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3.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суд, если возможность обращения в третейский суд не утрачена, или в арбитражный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спору, не предусмотренному третейским соглашением, или не подпадает под его условия, или содержит постановления по вопросам, не охватываемым соглашением о третейском разбирательстве, а также если спор, рассмотренный третейским судом,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Федерации, стороны третейского разбирательства могут обратиться за разрешением такого спора в арбитражный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по делу о выдаче исполнительного листа на принудительное исполнение решения третейского суда может быть обжаловано в кассационном порядке в арбитражный суд округа в течение одного месяца со дня вынесения определения.</w:t>
      </w:r>
    </w:p>
    <w:p/>
    <w:p>
      <w:pPr>
        <w:spacing w:after="120"/>
        <w:ind w:firstLine="709"/>
      </w:pPr>
      <w:r>
        <w:rPr>
          <w:sz w:val="24"/>
        </w:rPr>
        <w:t xml:space="preserve">§ 3. Производство по делам, связанным с выполнением арбитражными судами функций содействия в отношении третейского суда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</dc:title>
  <dc:creator>АРБИТРАЖ! · arbi.ru</dc:creator>
  <cp:lastModifiedBy>АРБИТРАЖ!</cp:lastModifiedBy>
  <dcterms:created xsi:type="dcterms:W3CDTF">2026-10-22T20:18:58.872Z</dcterms:created>
</cp:coreProperties>
</file>