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240.4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Заявление по вопросу об отводе третейского судьи подлежит удовлетворению арбитражным судом при наличии одновременно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соблюдена процедура отвода третейского судьи, которая установлена сторонами или федеральным законом и согласно которой вопрос об отводе третейского судьи передан на разрешение арбитражного суда;</w:t>
      </w:r>
    </w:p>
    <w:p>
      <w:pPr>
        <w:spacing w:after="120"/>
        <w:ind w:firstLine="709"/>
      </w:pPr>
      <w:r>
        <w:rPr>
          <w:sz w:val="24"/>
        </w:rPr>
        <w:t xml:space="preserve">2) имеются основания для отвода третейского судьи, установленные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Заявление по вопросу о назначении третейского судьи подлежит удовлетворению арбитражным судом при наличии одновременно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соблюдена процедура назначения третейского судьи, которая установлена сторонами или федеральным законом и согласно которой вопрос о назначении третейского судьи передан на разрешение арбитражного суда;</w:t>
      </w:r>
    </w:p>
    <w:p>
      <w:pPr>
        <w:spacing w:after="120"/>
        <w:ind w:firstLine="709"/>
      </w:pPr>
      <w:r>
        <w:rPr>
          <w:sz w:val="24"/>
        </w:rPr>
        <w:t xml:space="preserve">2) в соответствии с федеральным законом арбитражный суд полномочен решить вопрос, связанный с назначением третейского судьи.</w:t>
      </w:r>
    </w:p>
    <w:p>
      <w:pPr>
        <w:spacing w:after="120"/>
        <w:ind w:firstLine="709"/>
      </w:pPr>
      <w:r>
        <w:rPr>
          <w:sz w:val="24"/>
        </w:rPr>
        <w:t xml:space="preserve">3. Заявление по вопросу о прекращении полномочий третейского судьи подлежит удовлетворению арбитражным судом при наличии одновременно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соблюдена процедура прекращения полномочий третейского судьи, которая установлена сторонами или федеральным законом и согласно которой вопрос о прекращении полномочий третейского судьи передан на разрешение арбитражного суда;</w:t>
      </w:r>
    </w:p>
    <w:p>
      <w:pPr>
        <w:spacing w:after="120"/>
        <w:ind w:firstLine="709"/>
      </w:pPr>
      <w:r>
        <w:rPr>
          <w:sz w:val="24"/>
        </w:rPr>
        <w:t xml:space="preserve">2) имеются основания для прекращения полномочий третейского судьи, предусмотренные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240.4</dc:title>
  <dc:creator>АРБИТРАЖ! · arbi.ru</dc:creator>
  <cp:lastModifiedBy>АРБИТРАЖ!</cp:lastModifiedBy>
  <dcterms:created xsi:type="dcterms:W3CDTF">2026-10-22T06:40:58.376Z</dcterms:created>
</cp:coreProperties>
</file>