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240.5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29.1. Приказное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409-ФЗ)</w:t>
      </w:r>
    </w:p>
    <w:p>
      <w:pPr>
        <w:spacing w:after="120"/>
        <w:ind w:firstLine="709"/>
      </w:pPr>
      <w:r>
        <w:rPr>
          <w:sz w:val="24"/>
        </w:rPr>
        <w:t xml:space="preserve">1. По результатам рассмотрения заявления о содействии арбитражный суд выносит определение по правилам, установленным главой 21 настоящего Кодекса для вынесения определения.</w:t>
      </w:r>
    </w:p>
    <w:p>
      <w:pPr>
        <w:spacing w:after="120"/>
        <w:ind w:firstLine="709"/>
      </w:pPr>
      <w:r>
        <w:rPr>
          <w:sz w:val="24"/>
        </w:rPr>
        <w:t xml:space="preserve">2. В определении арбитражного суда по делу о выполнении арбитражными судами функций содействия в отношении третейских судов должны содержаться:</w:t>
      </w:r>
    </w:p>
    <w:p>
      <w:pPr>
        <w:spacing w:after="120"/>
        <w:ind w:firstLine="709"/>
      </w:pPr>
      <w:r>
        <w:rPr>
          <w:sz w:val="24"/>
        </w:rPr>
        <w:t xml:space="preserve">1) наименование постоянно действующего арбитражного учреждения , администрирующего третейское разбирательство, его место нахождения (в случае наличия постоянно действующего арбитражного учреждения);</w:t>
      </w:r>
    </w:p>
    <w:p>
      <w:pPr>
        <w:spacing w:after="120"/>
        <w:ind w:firstLine="709"/>
      </w:pPr>
      <w:r>
        <w:rPr>
          <w:sz w:val="24"/>
        </w:rPr>
        <w:t xml:space="preserve">2) сведения о составе третейского суда, рассматривающего спор, его месте нахождения;</w:t>
      </w:r>
    </w:p>
    <w:p>
      <w:pPr>
        <w:spacing w:after="120"/>
        <w:ind w:firstLine="709"/>
      </w:pPr>
      <w:r>
        <w:rPr>
          <w:sz w:val="24"/>
        </w:rPr>
        <w:t xml:space="preserve">3) наименования сторон третейского разбирательства;</w:t>
      </w:r>
    </w:p>
    <w:p>
      <w:pPr>
        <w:spacing w:after="120"/>
        <w:ind w:firstLine="709"/>
      </w:pPr>
      <w:r>
        <w:rPr>
          <w:sz w:val="24"/>
        </w:rPr>
        <w:t xml:space="preserve">4) изложение обстоятельств, являющихся основанием для обращения заявителя в арбитражный суд за содействием в отношении третейского суда, а также указание на нормы федерального закона, предусматривающие выполнение арбитражным судом тех функций, за выполнением которых обращается заявитель;</w:t>
      </w:r>
    </w:p>
    <w:p>
      <w:pPr>
        <w:spacing w:after="120"/>
        <w:ind w:firstLine="709"/>
      </w:pPr>
      <w:r>
        <w:rPr>
          <w:sz w:val="24"/>
        </w:rPr>
        <w:t xml:space="preserve">5) указание на удовлетворение требований заявителя полностью или в части либо отказ в удовлетворении требований заявителя полностью или в части с указанием мотивов, по которым арбитражный суд удовлетворил требования заявителя или отказал в их удовлетворении;</w:t>
      </w:r>
    </w:p>
    <w:p>
      <w:pPr>
        <w:spacing w:after="120"/>
        <w:ind w:firstLine="709"/>
      </w:pPr>
      <w:r>
        <w:rPr>
          <w:sz w:val="24"/>
        </w:rPr>
        <w:t xml:space="preserve">6) в случае удовлетворения требований заявителя сведения о третейском судье (третейских судьях), вопросы об отводе, о назначении или прекращении полномочий которого разрешены.</w:t>
      </w:r>
    </w:p>
    <w:p>
      <w:pPr>
        <w:spacing w:after="120"/>
        <w:ind w:firstLine="709"/>
      </w:pPr>
      <w:r>
        <w:rPr>
          <w:sz w:val="24"/>
        </w:rPr>
        <w:t xml:space="preserve">3. Определение арбитражного суда по делу о выполнении арбитражными судами функций содействия в отношении третейского суда не может быть обжаловано.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240.5</dc:title>
  <dc:creator>АРБИТРАЖ! · arbi.ru</dc:creator>
  <cp:lastModifiedBy>АРБИТРАЖ!</cp:lastModifiedBy>
  <dcterms:created xsi:type="dcterms:W3CDTF">2026-10-22T11:37:24.213Z</dcterms:created>
</cp:coreProperties>
</file>