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правилам, установленным в главе 20 настоящего Кодекса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по делу о признании и приведении в исполнение решения иностранного суда и иностранного арбитражного решения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место нахождения иностранного суда либо наименование и состав третейского суда или международного коммерческого арбитража, принявших решение;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взыскателя и должника;</w:t>
      </w:r>
    </w:p>
    <w:p>
      <w:pPr>
        <w:spacing w:after="120"/>
        <w:ind w:firstLine="709"/>
      </w:pPr>
      <w:r>
        <w:rPr>
          <w:sz w:val="24"/>
        </w:rPr>
        <w:t xml:space="preserve">3) сведения о решении иностранного суда или об иностранном арбитражном решении, о признании и приведении в исполнение которого ходатайствовал взыскатель;</w:t>
      </w:r>
    </w:p>
    <w:p>
      <w:pPr>
        <w:spacing w:after="120"/>
        <w:ind w:firstLine="709"/>
      </w:pPr>
      <w:r>
        <w:rPr>
          <w:sz w:val="24"/>
        </w:rPr>
        <w:t xml:space="preserve">4)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порядке в арбитражный суд округа в течение одного месяца со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</dc:title>
  <dc:creator>АРБИТРАЖ! · arbi.ru</dc:creator>
  <cp:lastModifiedBy>АРБИТРАЖ!</cp:lastModifiedBy>
  <dcterms:created xsi:type="dcterms:W3CDTF">2026-10-22T15:28:20.799Z</dcterms:created>
</cp:coreProperties>
</file>