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стороны, хотя бы одна из которых является иностранным лицом, заключили соглашение , в котором определили, что арбитражный суд в Российской Федерации обладает компетенцией по рассмотрению возникшего или могущего возникнуть спора, связанного с осуществлением ими предпринимательской и иной экономической деятельности, арбитражный суд в Российской Федерации будет обладать исключительной компетенцией по рассмотрению данного спора при условии, что такое соглашение не изменяет исключительную компетенцию иностранного суда.</w:t>
      </w:r>
    </w:p>
    <w:p>
      <w:pPr>
        <w:spacing w:after="120"/>
        <w:ind w:firstLine="709"/>
      </w:pPr>
      <w:r>
        <w:rPr>
          <w:sz w:val="24"/>
        </w:rPr>
        <w:t xml:space="preserve">2. Соглашение об определении компетенции должно быть заключено в письменной форме.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249</dc:title>
  <dc:creator>АРБИТРАЖ! · arbi.ru</dc:creator>
  <cp:lastModifiedBy>АРБИТРАЖ!</cp:lastModifiedBy>
  <dcterms:created xsi:type="dcterms:W3CDTF">2026-10-22T11:37:13.112Z</dcterms:created>
</cp:coreProperties>
</file>