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 Особенности рассмотрения дел с участием иностранных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Иностранные лица пользуются процессуальными правами и несут процессуальные обязанности наравне с российскими организациями и гражданами. Процессуальные льготы предоставляются иностранным лицам, если они предусмотрены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Иностранные лица имеют право обращаться в арбитражные суды в Российской Федерации по правилам компетенции, установленным настоящим Кодексом , для защиты своих нарушенных или оспариваемых прав и законных интересов в сфере предпринимательской и иной экономической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Иностранные лица, участвующие в деле, должны представить в арбитражный суд доказательства, подтверждающие их юридический статус и право на осуществление предпринимательской и иной экономической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В случае непредставления таких доказательств арбитражный суд вправе истребовать их по своей инициативе.</w:t>
      </w:r>
    </w:p>
    <w:p>
      <w:pPr>
        <w:spacing w:after="120"/>
        <w:ind w:firstLine="709"/>
      </w:pPr>
      <w:r>
        <w:rPr>
          <w:sz w:val="24"/>
        </w:rPr>
        <w:t xml:space="preserve">4. Правительством Российской Федерации могут быть установлены ответные ограничения (реторсии) в отношении иностранных лиц тех иностранных государств, в которых введены ограничения в отношении российских организаций и граждан.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254</dc:title>
  <dc:creator>АРБИТРАЖ! · arbi.ru</dc:creator>
  <cp:lastModifiedBy>АРБИТРАЖ!</cp:lastModifiedBy>
  <dcterms:created xsi:type="dcterms:W3CDTF">2026-10-22T20:48:11.525Z</dcterms:created>
</cp:coreProperties>
</file>