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соответствии с Конституцией Российской Федерации законодательство о судопроизводстве в арбитражных судах находится в ведении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Порядок судопроизводства в арбитражных судах определяется Конституцией Российской Федерации, Федеральным конституционным законом "О судебной системе Российской Федерации" и Федеральным конституционным законом "Об арбитражных судах в Российской Федерации", Арбитражным процессуальным кодексом Российской Федерации (далее - Кодекс) и принимаемыми в соответствии с ними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3. Если международным договором Российской Федерации установлены иные правила судопроизводства, чем те, которые предусмотрены законодательством Российской Федерации о судопроизводстве в арбитражных судах, применяются правила международного договора. 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08.12.2020 N 428-ФЗ)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Судопроизводство в арбитражных судах осуществляется в соответствии с федеральными законами, действующими во время разрешения спора и рассмотрения дела (далее - рассмотрение дела), совершения отдельного процессуального действия или исполнения судебного акта.</w:t>
      </w:r>
    </w:p>
    <w:p>
      <w:pPr>
        <w:spacing w:after="120"/>
        <w:ind w:firstLine="709"/>
      </w:pPr>
      <w:r>
        <w:rPr>
          <w:sz w:val="24"/>
        </w:rPr>
        <w:t xml:space="preserve">5. В случае отсутствия нормы процессуального права, регулирующей отношения, возникшие в ходе судопроизводства в арбитражных судах, арбитражные суды применяют норму, регулирующую сходные отношения (аналогия закона), а при отсутствии такой нормы действуют исходя из принципов осуществления правосудия в Российской Федерации (аналогия права).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29.06.2015 N 195-ФЗ)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</dc:title>
  <dc:creator>АРБИТРАЖ! · arbi.ru</dc:creator>
  <cp:lastModifiedBy>АРБИТРАЖ!</cp:lastModifiedBy>
  <dcterms:created xsi:type="dcterms:W3CDTF">2026-10-22T21:10:53.923Z</dcterms:created>
</cp:coreProperties>
</file>