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256.4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33.1.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393-ФЗ)</w:t>
      </w:r>
    </w:p>
    <w:p>
      <w:pPr>
        <w:spacing w:after="120"/>
        <w:ind w:firstLine="709"/>
      </w:pPr>
      <w:r>
        <w:rPr>
          <w:sz w:val="24"/>
        </w:rPr>
        <w:t xml:space="preserve">1. Исковое заявление по спору с иностранным государством и прилагаемые к нему документы должны соответствовать требованиям статей 125 и 126 настоящего Кодекса и подаются в арбитражный суд с копиями искового заявления и прилагаемых к нему документов в соответствии с количеством ответчиков и третьих лиц.</w:t>
      </w:r>
    </w:p>
    <w:p>
      <w:pPr>
        <w:spacing w:after="120"/>
        <w:ind w:firstLine="709"/>
      </w:pPr>
      <w:r>
        <w:rPr>
          <w:sz w:val="24"/>
        </w:rPr>
        <w:t xml:space="preserve">2. К исковому заявлению также прилагается надлежащим образом заверенный перевод искового заявления и прилагаемых к нему документов на официальный язык или один из официальных языков иностранного государства, привлекаемого к участию в деле.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256.4</dc:title>
  <dc:creator>АРБИТРАЖ! · arbi.ru</dc:creator>
  <cp:lastModifiedBy>АРБИТРАЖ!</cp:lastModifiedBy>
  <dcterms:created xsi:type="dcterms:W3CDTF">2026-10-22T22:45:28.717Z</dcterms:created>
</cp:coreProperties>
</file>