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осуществлении правосудия судьи арбитражных судов независимы, подчиняются только Конституции Российской Федерации и федеральному закону .</w:t>
      </w:r>
    </w:p>
    <w:p>
      <w:pPr>
        <w:spacing w:after="120"/>
        <w:ind w:firstLine="709"/>
      </w:pPr>
      <w:r>
        <w:rPr>
          <w:sz w:val="24"/>
        </w:rPr>
        <w:t xml:space="preserve">2. Какое-либо постороннее воздействие на судей арбитражных судов, вмешательство в их деятельность государственных органов, органов местного самоуправления, иных органов, организаций, должностных лиц или граждан запрещаются и влекут за собой ответственность, установленную законом .</w:t>
      </w:r>
    </w:p>
    <w:p>
      <w:pPr>
        <w:spacing w:after="120"/>
        <w:ind w:firstLine="709"/>
      </w:pPr>
      <w:r>
        <w:rPr>
          <w:sz w:val="24"/>
        </w:rPr>
        <w:t xml:space="preserve">2.1. Информация о внепроцессуальных обращениях государственных органов, органов местного самоуправления, иных органов, организаций, должностных лиц или граждан, поступивших судьям арбитражных судов по делам, находящимся в их производстве, либо председателю арбитражного суда, его заместителю, председателю судебного состава или председателю судебной коллегии по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делам.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02.07.2013 N 166-ФЗ;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Гарантии независимости судей арбитражных судов устанавливаются Конституцией Российской Федерации и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</dc:title>
  <dc:creator>АРБИТРАЖ! · arbi.ru</dc:creator>
  <cp:lastModifiedBy>АРБИТРАЖ!</cp:lastModifiedBy>
  <dcterms:created xsi:type="dcterms:W3CDTF">2026-10-22T23:27:50.916Z</dcterms:created>
</cp:coreProperties>
</file>