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Кассационная жалоба, поданная с соблюдением требований, предъявляемых настоящим Кодексом к ее форме и содержанию , принимается к производству арбитражного суда кассационной инстанции. В случае нарушения указанных требований арбитражный суд кассационной инстанции или оставляет кассационную жалобу без движения, или возвращает кассационную жалобу в порядке, предусмотренном статьями 280 , 281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Вопрос о принятии кассационной жалобы к производству арбитражного суда кассационной инстанции решается судьей единолично в пятидневный срок со дня ее поступления в арбитражный суд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О принятии кассационной жалобы к производству арбитражный суд выносит определение, которым возбуждается производство по кассационной жалобе.</w:t>
      </w:r>
    </w:p>
    <w:p>
      <w:pPr>
        <w:spacing w:after="120"/>
        <w:ind w:firstLine="709"/>
      </w:pPr>
      <w:r>
        <w:rPr>
          <w:sz w:val="24"/>
        </w:rPr>
        <w:t xml:space="preserve">В определении указываются время и место проведения судебного заседания по рассмотрению кассационной жалобы. При этом время проведения первого судебного заседания по рассмотрению кассационной жалобы определяется с учетом того, что оно не может быть назначено ранее истечения срока, установленного настоящим Кодексом для подачи кассационной жалобы.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о принятии кассационной жалобы направляются лицам, участвующим в деле, не позднее следующего дня после дня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278</dc:title>
  <dc:creator>АРБИТРАЖ! · arbi.ru</dc:creator>
  <cp:lastModifiedBy>АРБИТРАЖ!</cp:lastModifiedBy>
  <dcterms:created xsi:type="dcterms:W3CDTF">2026-10-22T17:07:36.154Z</dcterms:created>
</cp:coreProperties>
</file>