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279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Лицо, участвующее в деле, направляет отзыв на кассационную жалобу с приложением документов, подтверждающих возражения относительно жалобы, другим лицам, участвующим в деле, и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К отзыву, направляемому в арбитражный суд, прилагается также документ, подтверждающий направление отзыва другим лицам, участвующим в деле.</w:t>
      </w:r>
    </w:p>
    <w:p>
      <w:pPr>
        <w:spacing w:after="120"/>
        <w:ind w:firstLine="709"/>
      </w:pPr>
      <w:r>
        <w:rPr>
          <w:sz w:val="24"/>
        </w:rPr>
        <w:t xml:space="preserve">2. Отзыв и прилагаемые к нему документы могут быть представлены в арбитражный суд на бумажном носителе или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Отзыв подписывается лицом, участвующим в деле, или его представителем. К отзыву, подписанному представителем, прилагается доверенность или иной документ, подтверждающие его полномочия на подписание отзыва.</w:t>
      </w:r>
    </w:p>
    <w:p>
      <w:pPr>
        <w:spacing w:after="120"/>
        <w:ind w:firstLine="709"/>
      </w:pPr>
      <w:r>
        <w:rPr>
          <w:sz w:val="24"/>
        </w:rPr>
        <w:t xml:space="preserve">4. Отзыв направляется в срок, обеспечивающий возможность ознакомления с отзывом до начала судебного заседания. Отзыв на бумажном носителе направляется в арбитражный суд и лицам, участвующим в деле, заказным письмом с уведомлением о вручении. Отзыв в электронном виде направляется лицам, участвующим в деле,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279</dc:title>
  <dc:creator>АРБИТРАЖ! · arbi.ru</dc:creator>
  <cp:lastModifiedBy>АРБИТРАЖ!</cp:lastModifiedBy>
  <dcterms:created xsi:type="dcterms:W3CDTF">2026-10-22T06:42:27.709Z</dcterms:created>
</cp:coreProperties>
</file>