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280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Производство в суде кассационной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кассационной инстанции, установив при рассмотрении вопроса о принятии кассационной жалобы к производству, что она подана с нарушением требований, установленных статьей 277 настоящего Кодекса, выносит определение об оставлении кассационной жалобы без движения.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арбитражный суд указывает основания оставления кассационной жалобы без движения и срок, в течение которого лицо, подавшее кассационную жалобу, должно устранить обстоятельства, послужившие основанием для оставления кассационной жалобы без движения.</w:t>
      </w:r>
    </w:p>
    <w:p>
      <w:pPr>
        <w:spacing w:after="120"/>
        <w:ind w:firstLine="709"/>
      </w:pPr>
      <w:r>
        <w:rPr>
          <w:sz w:val="24"/>
        </w:rPr>
        <w:t xml:space="preserve">3. Копия определения об оставлении кассационной жалобы без движения направляется лицу, подавшему кассационную жалобу,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обстоятельства, послужившие основанием для оставления кассационной жалобы без движения, будут устранены в срок, указанный в определении суда, кассационная жалоба считается поданной в день ее первоначального поступления в суд и принимается к производству арбитражного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5. В случае, если указанные обстоятельства не будут устранены в срок, установленный в определении, арбитражный суд возвращает кассационную жалобу и прилагаемые к ней документы лицу, подавшему жалобу, в порядке, установленном статьей 281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280</dc:title>
  <dc:creator>АРБИТРАЖ! · arbi.ru</dc:creator>
  <cp:lastModifiedBy>АРБИТРАЖ!</cp:lastModifiedBy>
  <dcterms:created xsi:type="dcterms:W3CDTF">2026-10-22T16:44:22.441Z</dcterms:created>
</cp:coreProperties>
</file>