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1. Судопроизводство в арбитражных судах и исполнение судебного акта осуществляются в разумные сроки.</w:t>
      </w:r>
    </w:p>
    <w:p>
      <w:pPr>
        <w:spacing w:after="120"/>
        <w:ind w:firstLine="709"/>
      </w:pPr>
      <w:r>
        <w:rPr>
          <w:sz w:val="24"/>
        </w:rPr>
        <w:t xml:space="preserve">2. Разбирательство дел в арбитражных судах осуществляется в сроки, установленные настоящим Кодексом. Продление этих сроков допустимо в случаях и в порядке , которые установлены настоящим Кодексом. В любом случае судопроизводство в арбитражных судах должно осуществляться в разумный срок.</w:t>
      </w:r>
    </w:p>
    <w:p>
      <w:pPr>
        <w:spacing w:after="120"/>
        <w:ind w:firstLine="709"/>
      </w:pPr>
      <w:r>
        <w:rPr>
          <w:sz w:val="24"/>
        </w:rPr>
        <w:t xml:space="preserve">3. При определении разумного срока судопроизводства в арбитражных судах,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делу, учитываются такие обстоятельства, как правовая и фактическая сложность дела, поведение участников арбитражного процесса, достаточность и эффективность действий суда, осуществляемых в целях своевременного рассмотрения дела, а также общая продолжительность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4. Обстоятельства, связанные с организацией работы суда, в том числе предусмотренные пунктом 2 части 3 статьи 18 настоящего Кодекса и требующие замены судьи,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Правила определения разумного срока судопроизводства, предусмотренные частями 3 и 4 настоящей статьи, применяются также при определении разумного срока исполнения судебных актов.</w:t>
      </w:r>
    </w:p>
    <w:p>
      <w:pPr>
        <w:spacing w:after="120"/>
        <w:ind w:firstLine="709"/>
      </w:pPr>
      <w:r>
        <w:rPr>
          <w:sz w:val="24"/>
        </w:rPr>
        <w:t xml:space="preserve">6.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затягивается, заинтересованные лица вправе обратиться к председателю арбитражного суда с заявлением об ускорении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7.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суд. По результатам рассмотрения заявления председатель арбитражного суда выносит мотивированное определение, в котором может быть установлен срок проведения судебного заседания по делу и (или) могут быть указаны действия, которые следует совершить для ускорения рассмотрения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6.1</dc:title>
  <dc:creator>АРБИТРАЖ! · arbi.ru</dc:creator>
  <cp:lastModifiedBy>АРБИТРАЖ!</cp:lastModifiedBy>
  <dcterms:created xsi:type="dcterms:W3CDTF">2026-10-22T11:37:02.645Z</dcterms:created>
</cp:coreProperties>
</file>