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кассационной инстанции прекращает производство по кассационной жалобе, если после принятия кассационной жалобы к производству суда от лица, ее подавшего, поступило ходатайство об отказе от кассационной жалобы и отказ принят судом в соответствии со статьей 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 прекращении производства по кассационной жалобе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могут быть разрешены вопросы о распределении между сторонами судебных расходов, о возврате государственной пошлины из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о прекращении производства по кассационной жалобе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3. В случае прекращения производства по кассационной жалобе повторное обращение того же лица по тем же основаниям в арбитражный суд с кассационной жалобой не допускается.</w:t>
      </w:r>
    </w:p>
    <w:p>
      <w:pPr>
        <w:spacing w:after="120"/>
        <w:ind w:firstLine="709"/>
      </w:pPr>
      <w:r>
        <w:rPr>
          <w:sz w:val="24"/>
        </w:rPr>
        <w:t xml:space="preserve">4. Определение арбитражного суда о прекращении производства по кассационной жалобе может быть обжаловано в арбитражный суд кассационной инстанции в порядке, установленном в статье 291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282</dc:title>
  <dc:creator>АРБИТРАЖ! · arbi.ru</dc:creator>
  <cp:lastModifiedBy>АРБИТРАЖ!</cp:lastModifiedBy>
  <dcterms:created xsi:type="dcterms:W3CDTF">2026-10-22T21:11:22.057Z</dcterms:created>
</cp:coreProperties>
</file>