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282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 кассационной инстанции прекращает производство по кассационной жалобе, если после принятия кассационной жалобы к производству суда от лица, ее подавшего, поступило ходатайство об отказе от кассационной жалобы и отказ принят судом в соответствии со статьей 49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О прекращении производства по кассационной жалобе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В определении могут быть разрешены вопросы о распределении между сторонами судебных расходов, о возврате государственной пошлины из федерального бюджета.</w:t>
      </w:r>
    </w:p>
    <w:p>
      <w:pPr>
        <w:spacing w:after="120"/>
        <w:ind w:firstLine="709"/>
      </w:pPr>
      <w:r>
        <w:rPr>
          <w:sz w:val="24"/>
        </w:rPr>
        <w:t xml:space="preserve">Копии определения о прекращении производства по кассационной жалобе направляются лицам, участвующим в деле.</w:t>
      </w:r>
    </w:p>
    <w:p>
      <w:pPr>
        <w:spacing w:after="120"/>
        <w:ind w:firstLine="709"/>
      </w:pPr>
      <w:r>
        <w:rPr>
          <w:sz w:val="24"/>
        </w:rPr>
        <w:t xml:space="preserve">3. В случае прекращения производства по кассационной жалобе повторное обращение того же лица по тем же основаниям в арбитражный суд с кассационной жалобой не допускается.</w:t>
      </w:r>
    </w:p>
    <w:p>
      <w:pPr>
        <w:spacing w:after="120"/>
        <w:ind w:firstLine="709"/>
      </w:pPr>
      <w:r>
        <w:rPr>
          <w:sz w:val="24"/>
        </w:rPr>
        <w:t xml:space="preserve">4. Определение арбитражного суда о прекращении производства по кассационной жалобе может быть обжаловано в арбитражный суд кассационной инстанции в порядке, установленном в статье 291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282</dc:title>
  <dc:creator>АРБИТРАЖ! · arbi.ru</dc:creator>
  <cp:lastModifiedBy>АРБИТРАЖ!</cp:lastModifiedBy>
  <dcterms:created xsi:type="dcterms:W3CDTF">2026-10-22T22:27:59.856Z</dcterms:created>
</cp:coreProperties>
</file>